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ИНФОРМАЦИОННОЕ СООБЩЕНИЕ</w:t>
      </w:r>
      <w:r>
        <w:rPr>
          <w:rFonts w:ascii="PT Astra Serif" w:hAnsi="PT Astra Serif"/>
          <w:sz w:val="20"/>
          <w:szCs w:val="20"/>
        </w:rPr>
      </w:r>
    </w:p>
    <w:p>
      <w:pPr>
        <w:spacing w:line="12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23"/>
          <w:szCs w:val="23"/>
        </w:rPr>
      </w:pP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о проведении открытого аукциона в электронной форме по продаже государственного имущества Томской области</w:t>
      </w:r>
      <w:r>
        <w:rPr>
          <w:rFonts w:ascii="PT Astra Serif" w:hAnsi="PT Astra Serif" w:eastAsia="Times New Roman"/>
          <w:b/>
          <w:bCs/>
          <w:sz w:val="23"/>
          <w:szCs w:val="23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ind w:left="120" w:right="-178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Cs/>
          <w:color w:val="c00000"/>
          <w:sz w:val="24"/>
          <w:szCs w:val="24"/>
          <w:u w:val="single"/>
        </w:rPr>
        <w:t xml:space="preserve">Внимание!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Данное информационное сообщение является публичной офертой для заключения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  <w:r>
        <w:rPr>
          <w:rFonts w:ascii="PT Astra Serif" w:hAnsi="PT Astra Serif"/>
          <w:sz w:val="20"/>
          <w:szCs w:val="20"/>
        </w:rPr>
      </w:r>
    </w:p>
    <w:p>
      <w:pPr>
        <w:spacing w:line="334" w:lineRule="exact"/>
        <w:rPr>
          <w:rFonts w:ascii="PT Astra Serif" w:hAnsi="PT Astra Serif"/>
          <w:b/>
          <w:bCs/>
          <w:color w:val="000000" w:themeColor="text1"/>
          <w:sz w:val="26"/>
          <w:szCs w:val="26"/>
          <w:shd w:val="clear" w:color="auto" w:fill="ffffff"/>
        </w:rPr>
      </w:pPr>
      <w:r>
        <w:rPr>
          <w:rFonts w:ascii="PT Astra Serif" w:hAnsi="PT Astra Serif"/>
          <w:b/>
          <w:bCs/>
          <w:sz w:val="21"/>
          <w:szCs w:val="21"/>
          <w:shd w:val="clear" w:color="auto" w:fill="ffffff"/>
        </w:rPr>
        <w:t xml:space="preserve">Номер про</w:t>
      </w:r>
      <w:r>
        <w:rPr>
          <w:rFonts w:ascii="PT Astra Serif" w:hAnsi="PT Astra Serif"/>
          <w:b/>
          <w:bCs/>
          <w:sz w:val="21"/>
          <w:szCs w:val="21"/>
          <w:shd w:val="clear" w:color="auto" w:fill="ffffff"/>
        </w:rPr>
        <w:t xml:space="preserve">цедуры на сайте РТС-Тендер</w:t>
      </w:r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: №</w:t>
      </w:r>
      <w:r>
        <w:rPr>
          <w:rFonts w:ascii="PT Astra Serif" w:hAnsi="PT Astra Serif"/>
          <w:b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hyperlink r:id="rId10" w:tooltip="https://torgi.gov.ru/new/private/notice/view/650987c171ef3b4b2ca5bfe0" w:history="1">
        <w:r>
          <w:rPr>
            <w:rStyle w:val="853"/>
            <w:rFonts w:ascii="Arial" w:hAnsi="Arial" w:eastAsia="Arial" w:cs="Arial"/>
            <w:b/>
            <w:color w:val="115dee"/>
            <w:sz w:val="33"/>
            <w:u w:val="none"/>
          </w:rPr>
          <w:t xml:space="preserve">№21000022460000000036</w:t>
        </w:r>
      </w:hyperlink>
      <w:r>
        <w:rPr>
          <w:rFonts w:ascii="PT Astra Serif" w:hAnsi="PT Astra Serif"/>
          <w:b/>
          <w:bCs/>
          <w:color w:val="000000" w:themeColor="text1"/>
          <w:sz w:val="26"/>
          <w:szCs w:val="26"/>
          <w:shd w:val="clear" w:color="auto" w:fill="ffffff"/>
        </w:rPr>
      </w:r>
      <w:r>
        <w:rPr>
          <w:rFonts w:ascii="PT Astra Serif" w:hAnsi="PT Astra Serif"/>
          <w:b/>
          <w:bCs/>
          <w:color w:val="000000" w:themeColor="text1"/>
          <w:sz w:val="26"/>
          <w:szCs w:val="26"/>
          <w:shd w:val="clear" w:color="auto" w:fill="ffffff"/>
        </w:rPr>
      </w:r>
    </w:p>
    <w:p>
      <w:pPr>
        <w:spacing w:line="334" w:lineRule="exact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1. Общие сведения о продаже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tbl>
      <w:tblPr>
        <w:tblStyle w:val="861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Наименование государственного органа, принявшего решение об условиях приватизации имущества, реквизиты указанного решения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3" w:lineRule="exact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государственного органа,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Администрация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Реквизиты решения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>
              <w:rPr>
                <w:rFonts w:ascii="PT Astra Serif" w:hAnsi="PT Astra Serif" w:eastAsia="Times New Roman"/>
                <w:b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12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сентября 2023 года № 594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</w:t>
            </w:r>
            <w:bookmarkStart w:id="0" w:name="_GoBack"/>
            <w:r/>
            <w:bookmarkEnd w:id="0"/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</w:t>
            </w:r>
            <w:r>
              <w:rPr>
                <w:rFonts w:ascii="PT Astra Serif" w:hAnsi="PT Astra Serif" w:eastAsia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«Об условиях приватизации государственного имущества Томской области»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Собственник имущества: Томская область в лице Департамента по управлению государственной собственностью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634034, г. Томск, пр. Кир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ова, 20, телефон: +7(3822) 551-700, 551-703, 551-711, 551-712, адрес электронной почты: </w:t>
            </w:r>
            <w:hyperlink r:id="rId11" w:tooltip="mailto:dugsto@gov70.ru" w:history="1">
              <w:r>
                <w:rPr>
                  <w:rStyle w:val="853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dugsto@gov70.ru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hyperlink r:id="rId12" w:tooltip="mailto:fai@gki.tomsk.ru" w:history="1">
              <w:r>
                <w:rPr>
                  <w:rStyle w:val="853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fai</w:t>
              </w:r>
              <w:r>
                <w:rPr>
                  <w:rStyle w:val="853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@</w:t>
              </w:r>
              <w:r>
                <w:rPr>
                  <w:rStyle w:val="853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gki</w:t>
              </w:r>
              <w:r>
                <w:rPr>
                  <w:rStyle w:val="853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.</w:t>
              </w:r>
              <w:r>
                <w:rPr>
                  <w:rStyle w:val="853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tomsk</w:t>
              </w:r>
              <w:r>
                <w:rPr>
                  <w:rStyle w:val="853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.</w:t>
              </w:r>
              <w:r>
                <w:rPr>
                  <w:rStyle w:val="853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 shoi@gki.tomsk.ru, </w:t>
            </w:r>
            <w:r>
              <w:rPr>
                <w:rFonts w:ascii="PT Astra Serif" w:hAnsi="PT Astra Serif" w:eastAsia="Times New Roman"/>
                <w:sz w:val="24"/>
                <w:szCs w:val="24"/>
                <w:lang w:val="en-US"/>
              </w:rPr>
              <w:t xml:space="preserve">clv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@gki.tomsk.ru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Организатор торгов - электронная торговая площадка ООО «РТС – тендер»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(www.rts-tender.ru)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121151, г. Москва, набережная Тараса Шевченко, д.23А,</w:t>
            </w:r>
            <w:r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 xml:space="preserve">499) 653-77-00,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дрес электронной почты: iSupport@rts-tender.ru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853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пр.Фрунзе, д. 20, офис 308, телефон: +7 (3822) 98-41-99, адрес электронной почты: a.polyakov@rts-tender.ru, a.malyshev@rts-tend</w:t>
            </w:r>
            <w:r>
              <w:rPr>
                <w:rStyle w:val="853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er.ru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 и характеристика имущества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Помещение, назначение: нежилое, площадь 348,7 кв. м, этаж №1, этаж №2, кадастровый номер 70:17:0000012:2359, расположенное по адресу: Российская Федерация, Томская область, Асиновский район, г. Асино, ул. М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ичурина, д. 1, пом. 1003-1004, а001, 2005-2006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(далее - имущество).</w:t>
            </w:r>
            <w:r>
              <w:rPr>
                <w:rFonts w:ascii="PT Astra Serif" w:hAnsi="PT Astra Serif" w:eastAsia="Times New Roman"/>
              </w:rPr>
            </w:r>
          </w:p>
          <w:p>
            <w:pPr>
              <w:jc w:val="both"/>
              <w:shd w:val="clear" w:color="auto" w:fill="ffffff"/>
              <w:widowControl w:val="off"/>
              <w:tabs>
                <w:tab w:val="left" w:pos="1134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имущество не является предметом спора и не находится под арестом, не является предметом залога. 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Способ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Аукцион в электронной форме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>
          <w:trHeight w:val="278"/>
        </w:trPr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4.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Начальная цена продажи имущества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970 000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(девятьсот семьдесят тысяч) рублей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 учетом налога на добавленную стоимость (далее – НДС)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5.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Форма подачи предложений о цене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Открытая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6.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Условия и сроки платежа,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30 (тридцати) рабочих дней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со дня заключения договора купли-продажи.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Получатель: ИНН 7017018464, КПП 701701001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(Департамент по управлению государ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ственной собственностью Томской области) лицевой счет 04652001360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63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казначейский счет № 03100643000000016500</w:t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pStyle w:val="863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единый казначейский счет № 40102810245370000058</w:t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63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  <w:r>
              <w:rPr>
                <w:rFonts w:ascii="PT Astra Serif" w:hAnsi="PT Astra Serif"/>
                <w:b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Код бюджетной классификации (КБК):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80111413020020000410.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Победитель аукциона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самостоятельно исчисляет и уплачивает НДС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 соответ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ствии с налоговым законодательством.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7.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задатка, срок и порядок его внесения,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задатка: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97 000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(девяносто семь тысяч) рублей (10% начальной цены).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Задаток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должен поступить не позднее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22.10.2023</w:t>
            </w:r>
            <w:r>
              <w:rPr>
                <w:rFonts w:ascii="PT Astra Serif" w:hAnsi="PT Astra Serif" w:eastAsia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 следующим реквиз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итам: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Получатель ООО «РТС-тендер»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Филиал «Корпоративный» ПАО «Совкомбанк»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40702810512030016362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30101810445250000360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044525360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 ИНН 7710357167, КПП 773001001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№ аналитического счета _________, без НДС.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Документом, подтверждающим поступление задатка на счет,  является выписка с этого счета.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Величина повыш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ения начальной цены  («шаг аукциона»)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48 500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</w:rPr>
              <w:t xml:space="preserve">сорок восемь тысяч пятьсот) рублей (5% начальной цены).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9.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Порядок, место, даты начала и окончания 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установлен постановлением Правительства Российской Федерации от 27.08.2012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электронная торговая площадка ООО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www.rts-tender.ru.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Одно лицо имеет право подать только одну заявку.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Дата начала подачи заявок:</w:t>
            </w:r>
            <w:r>
              <w:rPr>
                <w:rFonts w:ascii="PT Astra Serif" w:hAnsi="PT Astra Serif" w:eastAsia="Times New Roman"/>
                <w:b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22 сентября 2023 года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09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часов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00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Дата окончания подачи зая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вок: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22 октября 2023 года,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18 часов 00 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10.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Исчерпывающий п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еречень представляемых участниками торгов документов и требования к их оформлению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 форме электронных документов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представляют следующие документы: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заявку на участие в аукционе установленной формы;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заверенные копии учредительных документов;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который подтверждает полномочия руководителя юридического лица на осуществление действий от имен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Физические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лица представляют следующие документы: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заявку на участие в аукционе установленной формы;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копию всех листов документа, удостоверяющего личность;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 если от имени претендента действует его представитель по дове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Все листы документов, представляемых одновременно с заявкой, либо отдельные тома данных документов дол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11.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 заключения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течение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пяти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рабочих дней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с даты подведения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итогов аукциона.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12.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ознакомления покупателей с иной информацией, условиями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Кирова, 20, кабинет 2, 13, 14, номера телефонов: (3822)  551-712, 551-711, 551-703.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Проект договора купли-продажи имущества содержится в документации об аукционе.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3" w:tooltip="https://www.torgi.gov.гu" w:history="1">
              <w:r>
                <w:rPr>
                  <w:rStyle w:val="853"/>
                  <w:rFonts w:ascii="PT Astra Serif" w:hAnsi="PT Astra Serif" w:eastAsia="Times New Roman"/>
                  <w:sz w:val="24"/>
                  <w:szCs w:val="24"/>
                </w:rPr>
                <w:t xml:space="preserve">https://www.torgi.gov.гu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4" w:tooltip="https://dugs.tomsk.gov.ru/privatizatsija-prodazha-gosudarstvennogo-imuschestva" w:history="1">
              <w:r>
                <w:rPr>
                  <w:rStyle w:val="853"/>
                  <w:rFonts w:ascii="PT Astra Serif" w:hAnsi="PT Astra Serif" w:eastAsia="Times New Roman"/>
                  <w:sz w:val="24"/>
                  <w:szCs w:val="24"/>
                </w:rPr>
                <w:t xml:space="preserve">https://dugs.tomsk.gov.ru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Любое лицо независимо от регистрации на электронной площадке вправе направить на электронный адрес оператора электронной п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лощадки, указанный в информационном сообщении о проведении продажи имущества, запрос о разъяснении размещенной информации.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течение 2 рабочих дней со дня поступления запроса продавец п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13.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прив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 исключением: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государственных и муниципальных унитарных предприятий, государственных и муниципальных учреждений;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в уставном кап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итале которых доля Российской Федерации, субъектов Российской Федерации и муниципальных образований превышает 25 процентов;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раскрытие 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Понятие «контролирующее лицо» используется в том же значении, что и в статье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«бене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фициарный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случае, если впоследстви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14.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День определения участников торгов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23 октября 2023 года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.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ной заявки аукцион признается несостоявшимся.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15.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определения победителя аукциона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заявляются участниками аукциона открыто в хо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случае отказа лица, признанного единственным участником аукциона, от заключения договора аукцион признается несостоявшимся.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16.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и срок подведения итогов продажи государственного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подведения итогов: электронная торговая площадка ООО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«РТС – тендер»  www.rts-tender.ru.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 подведения итогов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: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24 октября 2023 года</w:t>
            </w:r>
            <w:r>
              <w:rPr>
                <w:rFonts w:ascii="PT Astra Serif" w:hAnsi="PT Astra Serif" w:eastAsia="Times New Roman"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10 часов 00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17.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Сведения обо всех предыдущих торгах по продаже государственного имущества, объявленных в течение года, предшествующего его продаже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, и об итогах торгов по продаже имущества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Торги по продаже государственного имущества, назначенные на 25.08.2022, 11.10.2022, 23.12.2022 не состоялись по причине отсутствия заявок.</w:t>
            </w:r>
            <w:r>
              <w:rPr>
                <w:rFonts w:ascii="PT Astra Serif" w:hAnsi="PT Astra Serif" w:eastAsia="Times New Roman"/>
              </w:rPr>
            </w:r>
          </w:p>
          <w:p>
            <w:pPr>
              <w:jc w:val="both"/>
              <w:spacing w:before="100" w:beforeAutospacing="1"/>
              <w:rPr>
                <w:rFonts w:ascii="PT Astra Serif" w:hAnsi="PT Astra Serif" w:eastAsia="Times New Roman"/>
              </w:rPr>
            </w:pPr>
            <w:r>
              <w:rPr>
                <w:rFonts w:ascii="PT Astra Serif" w:hAnsi="PT Astra Serif" w:eastAsia="Times New Roman"/>
              </w:rPr>
            </w:r>
            <w:r>
              <w:rPr>
                <w:rFonts w:ascii="PT Astra Serif" w:hAnsi="PT Astra Serif" w:eastAsia="Times New Roman"/>
              </w:rPr>
            </w:r>
          </w:p>
          <w:p>
            <w:pPr>
              <w:jc w:val="both"/>
              <w:spacing w:before="100" w:beforeAutospacing="1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>
          <w:trHeight w:val="276"/>
        </w:trPr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ведения об установлении публичного сервитута и (или) иных ограничений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751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отсутствуют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</w:tbl>
    <w:p>
      <w:pPr>
        <w:jc w:val="center"/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2. Общие положения</w:t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p>
      <w:pPr>
        <w:ind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с:</w:t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27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</w:t>
      </w:r>
      <w:r>
        <w:rPr>
          <w:rFonts w:ascii="PT Astra Serif" w:hAnsi="PT Astra Serif" w:eastAsia="Times New Roman"/>
          <w:sz w:val="24"/>
          <w:szCs w:val="24"/>
        </w:rPr>
        <w:t xml:space="preserve">Федеральным законом от 21 декабря 2001 года № 178-ФЗ «О приватизации государственного и муниципального имущества»;</w:t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0"/>
        <w:jc w:val="both"/>
        <w:tabs>
          <w:tab w:val="left" w:pos="840" w:leader="none"/>
          <w:tab w:val="left" w:pos="2740" w:leader="none"/>
          <w:tab w:val="left" w:pos="4500" w:leader="none"/>
          <w:tab w:val="left" w:pos="5940" w:leader="none"/>
          <w:tab w:val="left" w:pos="7320" w:leader="none"/>
          <w:tab w:val="left" w:pos="7800" w:leader="none"/>
          <w:tab w:val="left" w:pos="8280" w:leader="none"/>
          <w:tab w:val="left" w:pos="9280" w:leader="none"/>
          <w:tab w:val="left" w:pos="1000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- постановлением Правительства Российской Федерации от 27.08.2012</w:t>
      </w:r>
      <w:r>
        <w:rPr>
          <w:rFonts w:ascii="PT Astra Serif" w:hAnsi="PT Astra Serif" w:eastAsia="Times New Roman"/>
          <w:sz w:val="23"/>
          <w:szCs w:val="23"/>
        </w:rPr>
        <w:t xml:space="preserve"> № </w:t>
      </w:r>
      <w:r>
        <w:rPr>
          <w:rFonts w:ascii="PT Astra Serif" w:hAnsi="PT Astra Serif" w:eastAsia="Times New Roman"/>
          <w:sz w:val="24"/>
          <w:szCs w:val="24"/>
        </w:rPr>
        <w:t xml:space="preserve">860 «Об организации и проведении продажи государственного и муниципальног</w:t>
      </w:r>
      <w:r>
        <w:rPr>
          <w:rFonts w:ascii="PT Astra Serif" w:hAnsi="PT Astra Serif" w:eastAsia="Times New Roman"/>
          <w:sz w:val="24"/>
          <w:szCs w:val="24"/>
        </w:rPr>
        <w:t xml:space="preserve">о имущества в электронной форме»;</w:t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567"/>
        <w:jc w:val="both"/>
        <w:spacing w:line="230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Законом Томской области от 12 июля 2018 года № 80-ОЗ «О приватизации государственного имущества Томской области»;</w:t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7"/>
        <w:jc w:val="both"/>
        <w:spacing w:line="234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постановлением Законодательной Думы Томской области от 27.10.2022 № 449 «О </w:t>
      </w:r>
      <w:r>
        <w:rPr>
          <w:rFonts w:ascii="PT Astra Serif" w:hAnsi="PT Astra Serif" w:eastAsia="Times New Roman"/>
          <w:sz w:val="24"/>
          <w:szCs w:val="24"/>
        </w:rPr>
        <w:t xml:space="preserve">прогнозном плане (программе) приватизации государственного имущества Томской области на плановый период 2023-2025 годов».</w:t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left="560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регистрации на электронной площадке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ind w:firstLine="567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 xml:space="preserve">Для обеспечения доступа</w:t>
      </w:r>
      <w:r>
        <w:rPr>
          <w:rFonts w:ascii="PT Astra Serif" w:hAnsi="PT Astra Serif" w:eastAsia="Times New Roman"/>
          <w:sz w:val="24"/>
          <w:szCs w:val="24"/>
        </w:rPr>
        <w:t xml:space="preserve"> к участию в электронной продаже Претендентам необходимо пройти про</w:t>
      </w:r>
      <w:r>
        <w:rPr>
          <w:rFonts w:ascii="PT Astra Serif" w:hAnsi="PT Astra Serif" w:eastAsia="Times New Roman"/>
          <w:sz w:val="24"/>
          <w:szCs w:val="24"/>
        </w:rPr>
        <w:t xml:space="preserve">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Регистрация на электронной площадке проводится в соответствии с Регламентом электронной площа</w:t>
      </w:r>
      <w:r>
        <w:rPr>
          <w:rFonts w:ascii="PT Astra Serif" w:hAnsi="PT Astra Serif" w:eastAsia="Times New Roman"/>
          <w:sz w:val="24"/>
          <w:szCs w:val="24"/>
        </w:rPr>
        <w:t xml:space="preserve">дки.</w:t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hAnsi="PT Astra Serif" w:eastAsia="Times New Roman"/>
          <w:sz w:val="24"/>
          <w:szCs w:val="24"/>
        </w:rPr>
        <w:t xml:space="preserve">для оформления участия в электронном аукционе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</w:t>
      </w:r>
      <w:r>
        <w:rPr>
          <w:rFonts w:ascii="PT Astra Serif" w:hAnsi="PT Astra Serif" w:eastAsia="Times New Roman"/>
          <w:sz w:val="24"/>
          <w:szCs w:val="24"/>
        </w:rPr>
        <w:t xml:space="preserve">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 </w:t>
      </w:r>
      <w:r>
        <w:rPr>
          <w:rFonts w:ascii="PT Astra Serif" w:hAnsi="PT Astra Serif" w:eastAsia="Times New Roman"/>
          <w:sz w:val="24"/>
          <w:szCs w:val="24"/>
        </w:rPr>
        <w:t xml:space="preserve">указан в данном информационном сообщении. </w:t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left="560" w:firstLine="149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Одно лицо имеет право подать только одну заявку на участие в электронном аукционе.</w:t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</w:t>
      </w:r>
      <w:r>
        <w:rPr>
          <w:rFonts w:ascii="PT Astra Serif" w:hAnsi="PT Astra Serif" w:eastAsia="Times New Roman"/>
          <w:sz w:val="24"/>
          <w:szCs w:val="24"/>
        </w:rPr>
        <w:t xml:space="preserve">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уведомления с приложением электронных копий з</w:t>
      </w:r>
      <w:r>
        <w:rPr>
          <w:rFonts w:ascii="PT Astra Serif" w:hAnsi="PT Astra Serif" w:eastAsia="Times New Roman"/>
          <w:sz w:val="24"/>
          <w:szCs w:val="24"/>
        </w:rPr>
        <w:t xml:space="preserve">арегистрированной заявки и прилагаемых к ней документов.</w:t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</w:t>
      </w:r>
      <w:r>
        <w:rPr>
          <w:rFonts w:ascii="PT Astra Serif" w:hAnsi="PT Astra Serif" w:eastAsia="Times New Roman"/>
          <w:sz w:val="24"/>
          <w:szCs w:val="24"/>
        </w:rPr>
        <w:t xml:space="preserve">тронной площадке не регистрируются.</w:t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tabs>
          <w:tab w:val="left" w:pos="76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В с</w:t>
      </w:r>
      <w:r>
        <w:rPr>
          <w:rFonts w:ascii="PT Astra Serif" w:hAnsi="PT Astra Serif" w:eastAsia="Times New Roman"/>
          <w:sz w:val="24"/>
          <w:szCs w:val="24"/>
        </w:rPr>
        <w:t xml:space="preserve">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8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Для участия в аукционе Претенден</w:t>
      </w:r>
      <w:r>
        <w:rPr>
          <w:rFonts w:ascii="PT Astra Serif" w:hAnsi="PT Astra Serif" w:eastAsia="Times New Roman"/>
          <w:sz w:val="24"/>
          <w:szCs w:val="24"/>
        </w:rPr>
        <w:t xml:space="preserve">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</w:t>
      </w:r>
      <w:r>
        <w:rPr>
          <w:rFonts w:ascii="PT Astra Serif" w:hAnsi="PT Astra Serif" w:eastAsia="Times New Roman"/>
          <w:sz w:val="24"/>
          <w:szCs w:val="24"/>
        </w:rPr>
        <w:t xml:space="preserve">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  <w:r>
        <w:rPr>
          <w:rFonts w:ascii="PT Astra Serif" w:hAnsi="PT Astra Serif"/>
          <w:sz w:val="20"/>
          <w:szCs w:val="20"/>
        </w:rPr>
      </w:r>
    </w:p>
    <w:p>
      <w:pPr>
        <w:ind w:firstLine="709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Задаток для участия в про</w:t>
      </w:r>
      <w:r>
        <w:rPr>
          <w:rFonts w:ascii="PT Astra Serif" w:hAnsi="PT Astra Serif" w:eastAsia="Times New Roman"/>
          <w:sz w:val="24"/>
          <w:szCs w:val="24"/>
        </w:rPr>
        <w:t xml:space="preserve">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</w:t>
      </w:r>
      <w:r>
        <w:rPr>
          <w:rFonts w:ascii="PT Astra Serif" w:hAnsi="PT Astra Serif" w:eastAsia="Times New Roman"/>
          <w:sz w:val="24"/>
          <w:szCs w:val="24"/>
        </w:rPr>
        <w:t xml:space="preserve"> аукциона, в течение 5 (пяти) календарных дней с даты подведения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и срок воз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врата задатков: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</w:t>
      </w:r>
      <w:r>
        <w:rPr>
          <w:rFonts w:ascii="PT Astra Serif" w:hAnsi="PT Astra Serif" w:cs="PT Astra Serif"/>
          <w:sz w:val="24"/>
          <w:szCs w:val="24"/>
        </w:rPr>
        <w:t xml:space="preserve">аукциона, от заключения в установленный срок договора купли-продажи имущества задаток ему не возв</w:t>
      </w:r>
      <w:r>
        <w:rPr>
          <w:rFonts w:ascii="PT Astra Serif" w:hAnsi="PT Astra Serif" w:cs="PT Astra Serif"/>
          <w:sz w:val="24"/>
          <w:szCs w:val="24"/>
        </w:rPr>
        <w:t xml:space="preserve">ращается и он утрачивает право на заключение указанного договора.</w:t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данным информационным сообщением.</w:t>
      </w:r>
      <w:r>
        <w:rPr>
          <w:rFonts w:ascii="PT Astra Serif" w:hAnsi="PT Astra Serif"/>
          <w:sz w:val="20"/>
          <w:szCs w:val="20"/>
        </w:rPr>
      </w:r>
    </w:p>
    <w:p>
      <w:pPr>
        <w:jc w:val="both"/>
        <w:spacing w:line="2" w:lineRule="exac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не допускается к участию в аукционе по следующим основаниям:</w:t>
      </w:r>
      <w:r>
        <w:rPr>
          <w:rFonts w:ascii="PT Astra Serif" w:hAnsi="PT Astra Serif"/>
          <w:sz w:val="20"/>
          <w:szCs w:val="20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22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представленны</w:t>
      </w:r>
      <w:r>
        <w:rPr>
          <w:rFonts w:ascii="PT Astra Serif" w:hAnsi="PT Astra Serif" w:eastAsia="Times New Roman"/>
          <w:sz w:val="24"/>
          <w:szCs w:val="24"/>
        </w:rPr>
        <w:t xml:space="preserve">е документы не подтверждают право претендента быть покупателем в соответствии с законодательством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6" w:lineRule="auto"/>
        <w:tabs>
          <w:tab w:val="left" w:pos="85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представлены не все документы в соответствии с перечнем, указанным в информационном сообщении о продаже государственного имущества, либо</w:t>
      </w:r>
      <w:r>
        <w:rPr>
          <w:rFonts w:ascii="PT Astra Serif" w:hAnsi="PT Astra Serif" w:eastAsia="Times New Roman"/>
          <w:sz w:val="24"/>
          <w:szCs w:val="24"/>
        </w:rPr>
        <w:t xml:space="preserve"> оформление указанных документов не соответствует законодательству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3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заявка на участие в аукционе подана лицом, не уполномоченным претендентом на осуществление таких действий;</w:t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jc w:val="both"/>
        <w:spacing w:line="13" w:lineRule="exact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12" w:leader="none"/>
        </w:tabs>
        <w:rPr>
          <w:rFonts w:ascii="PT Astra Serif" w:hAnsi="PT Astra Serif" w:eastAsia="Arial" w:cs="Arial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не подтверждено поступление в установленный срок задатка на счет, указанный в информационном сообщении.</w:t>
      </w:r>
      <w:r>
        <w:rPr>
          <w:rFonts w:ascii="PT Astra Serif" w:hAnsi="PT Astra Serif" w:eastAsia="Arial" w:cs="Arial"/>
          <w:sz w:val="20"/>
          <w:szCs w:val="20"/>
        </w:rPr>
      </w:r>
    </w:p>
    <w:p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/>
          <w:sz w:val="20"/>
          <w:szCs w:val="20"/>
        </w:rPr>
      </w:r>
    </w:p>
    <w:p>
      <w:pPr>
        <w:ind w:firstLine="540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Ход проведения процедуры аукциона фиксируется электронной площадкой в эл</w:t>
      </w:r>
      <w:r>
        <w:rPr>
          <w:rFonts w:ascii="PT Astra Serif" w:hAnsi="PT Astra Serif" w:eastAsia="Times New Roman"/>
          <w:sz w:val="24"/>
          <w:szCs w:val="24"/>
        </w:rPr>
        <w:t xml:space="preserve">ектронном журнале.</w:t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Процедура аукциона считается завершенной со времени подписания организатором аукциона протокола об итогах аукциона.</w:t>
      </w:r>
      <w:r>
        <w:rPr>
          <w:rFonts w:ascii="PT Astra Serif" w:hAnsi="PT Astra Serif" w:eastAsia="Times New Roman"/>
          <w:sz w:val="24"/>
          <w:szCs w:val="24"/>
        </w:rPr>
      </w:r>
    </w:p>
    <w:sectPr>
      <w:footnotePr/>
      <w:endnotePr/>
      <w:type w:val="nextPage"/>
      <w:pgSz w:w="11900" w:h="16838" w:orient="portrait"/>
      <w:pgMar w:top="568" w:right="726" w:bottom="567" w:left="720" w:header="0" w:footer="0" w:gutter="0"/>
      <w:cols w:num="1" w:sep="0"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№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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с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и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В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0">
    <w:multiLevelType w:val="hybridMultilevel"/>
    <w:lvl w:ilvl="0">
      <w:start w:val="29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9"/>
  </w:num>
  <w:num w:numId="6">
    <w:abstractNumId w:val="10"/>
  </w:num>
  <w:num w:numId="7">
    <w:abstractNumId w:val="7"/>
  </w:num>
  <w:num w:numId="8">
    <w:abstractNumId w:val="4"/>
  </w:num>
  <w:num w:numId="9">
    <w:abstractNumId w:val="2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cs="Times New Roman" w:eastAsiaTheme="minorEastAsia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85"/>
    <w:link w:val="676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685"/>
    <w:link w:val="677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685"/>
    <w:link w:val="678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85"/>
    <w:link w:val="679"/>
    <w:uiPriority w:val="9"/>
    <w:rPr>
      <w:rFonts w:ascii="Arial" w:hAnsi="Arial" w:eastAsia="Arial" w:cs="Arial"/>
      <w:b/>
      <w:bCs/>
      <w:sz w:val="26"/>
      <w:szCs w:val="26"/>
    </w:rPr>
  </w:style>
  <w:style w:type="character" w:styleId="22">
    <w:name w:val="Heading 5 Char"/>
    <w:basedOn w:val="685"/>
    <w:link w:val="680"/>
    <w:uiPriority w:val="9"/>
    <w:rPr>
      <w:rFonts w:ascii="Arial" w:hAnsi="Arial" w:eastAsia="Arial" w:cs="Arial"/>
      <w:b/>
      <w:bCs/>
      <w:sz w:val="24"/>
      <w:szCs w:val="24"/>
    </w:rPr>
  </w:style>
  <w:style w:type="character" w:styleId="24">
    <w:name w:val="Heading 6 Char"/>
    <w:basedOn w:val="685"/>
    <w:link w:val="681"/>
    <w:uiPriority w:val="9"/>
    <w:rPr>
      <w:rFonts w:ascii="Arial" w:hAnsi="Arial" w:eastAsia="Arial" w:cs="Arial"/>
      <w:b/>
      <w:bCs/>
      <w:sz w:val="22"/>
      <w:szCs w:val="22"/>
    </w:rPr>
  </w:style>
  <w:style w:type="character" w:styleId="26">
    <w:name w:val="Heading 7 Char"/>
    <w:basedOn w:val="685"/>
    <w:link w:val="68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8">
    <w:name w:val="Heading 8 Char"/>
    <w:basedOn w:val="685"/>
    <w:link w:val="683"/>
    <w:uiPriority w:val="9"/>
    <w:rPr>
      <w:rFonts w:ascii="Arial" w:hAnsi="Arial" w:eastAsia="Arial" w:cs="Arial"/>
      <w:i/>
      <w:iCs/>
      <w:sz w:val="22"/>
      <w:szCs w:val="22"/>
    </w:rPr>
  </w:style>
  <w:style w:type="character" w:styleId="30">
    <w:name w:val="Heading 9 Char"/>
    <w:basedOn w:val="685"/>
    <w:link w:val="684"/>
    <w:uiPriority w:val="9"/>
    <w:rPr>
      <w:rFonts w:ascii="Arial" w:hAnsi="Arial" w:eastAsia="Arial" w:cs="Arial"/>
      <w:i/>
      <w:iCs/>
      <w:sz w:val="21"/>
      <w:szCs w:val="21"/>
    </w:rPr>
  </w:style>
  <w:style w:type="character" w:styleId="35">
    <w:name w:val="Title Char"/>
    <w:basedOn w:val="685"/>
    <w:link w:val="698"/>
    <w:uiPriority w:val="10"/>
    <w:rPr>
      <w:sz w:val="48"/>
      <w:szCs w:val="48"/>
    </w:rPr>
  </w:style>
  <w:style w:type="character" w:styleId="37">
    <w:name w:val="Subtitle Char"/>
    <w:basedOn w:val="685"/>
    <w:link w:val="700"/>
    <w:uiPriority w:val="11"/>
    <w:rPr>
      <w:sz w:val="24"/>
      <w:szCs w:val="24"/>
    </w:rPr>
  </w:style>
  <w:style w:type="character" w:styleId="39">
    <w:name w:val="Quote Char"/>
    <w:link w:val="702"/>
    <w:uiPriority w:val="29"/>
    <w:rPr>
      <w:i/>
    </w:rPr>
  </w:style>
  <w:style w:type="character" w:styleId="41">
    <w:name w:val="Intense Quote Char"/>
    <w:link w:val="704"/>
    <w:uiPriority w:val="30"/>
    <w:rPr>
      <w:i/>
    </w:rPr>
  </w:style>
  <w:style w:type="character" w:styleId="47">
    <w:name w:val="Caption Char"/>
    <w:basedOn w:val="709"/>
    <w:link w:val="707"/>
    <w:uiPriority w:val="99"/>
  </w:style>
  <w:style w:type="character" w:styleId="176">
    <w:name w:val="Footnote Text Char"/>
    <w:link w:val="836"/>
    <w:uiPriority w:val="99"/>
    <w:rPr>
      <w:sz w:val="18"/>
    </w:rPr>
  </w:style>
  <w:style w:type="character" w:styleId="179">
    <w:name w:val="Endnote Text Char"/>
    <w:link w:val="839"/>
    <w:uiPriority w:val="99"/>
    <w:rPr>
      <w:sz w:val="20"/>
    </w:rPr>
  </w:style>
  <w:style w:type="paragraph" w:styleId="675" w:default="1">
    <w:name w:val="Normal"/>
    <w:qFormat/>
  </w:style>
  <w:style w:type="paragraph" w:styleId="676">
    <w:name w:val="Heading 1"/>
    <w:basedOn w:val="675"/>
    <w:next w:val="675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7">
    <w:name w:val="Heading 2"/>
    <w:basedOn w:val="675"/>
    <w:next w:val="675"/>
    <w:link w:val="68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8">
    <w:name w:val="Heading 3"/>
    <w:basedOn w:val="675"/>
    <w:next w:val="675"/>
    <w:link w:val="69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9">
    <w:name w:val="Heading 4"/>
    <w:basedOn w:val="675"/>
    <w:next w:val="675"/>
    <w:link w:val="69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0">
    <w:name w:val="Heading 5"/>
    <w:basedOn w:val="675"/>
    <w:next w:val="675"/>
    <w:link w:val="69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1">
    <w:name w:val="Heading 6"/>
    <w:basedOn w:val="675"/>
    <w:next w:val="675"/>
    <w:link w:val="69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682">
    <w:name w:val="Heading 7"/>
    <w:basedOn w:val="675"/>
    <w:next w:val="675"/>
    <w:link w:val="69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683">
    <w:name w:val="Heading 8"/>
    <w:basedOn w:val="675"/>
    <w:next w:val="675"/>
    <w:link w:val="69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684">
    <w:name w:val="Heading 9"/>
    <w:basedOn w:val="675"/>
    <w:next w:val="675"/>
    <w:link w:val="69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5" w:default="1">
    <w:name w:val="Default Paragraph Font"/>
    <w:uiPriority w:val="1"/>
    <w:semiHidden/>
    <w:unhideWhenUsed/>
  </w:style>
  <w:style w:type="table" w:styleId="68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7" w:default="1">
    <w:name w:val="No List"/>
    <w:uiPriority w:val="99"/>
    <w:semiHidden/>
    <w:unhideWhenUsed/>
  </w:style>
  <w:style w:type="character" w:styleId="688" w:customStyle="1">
    <w:name w:val="Заголовок 1 Знак"/>
    <w:basedOn w:val="685"/>
    <w:link w:val="676"/>
    <w:uiPriority w:val="9"/>
    <w:rPr>
      <w:rFonts w:ascii="Arial" w:hAnsi="Arial" w:eastAsia="Arial" w:cs="Arial"/>
      <w:sz w:val="40"/>
      <w:szCs w:val="40"/>
    </w:rPr>
  </w:style>
  <w:style w:type="character" w:styleId="689" w:customStyle="1">
    <w:name w:val="Заголовок 2 Знак"/>
    <w:basedOn w:val="685"/>
    <w:link w:val="677"/>
    <w:uiPriority w:val="9"/>
    <w:rPr>
      <w:rFonts w:ascii="Arial" w:hAnsi="Arial" w:eastAsia="Arial" w:cs="Arial"/>
      <w:sz w:val="34"/>
    </w:rPr>
  </w:style>
  <w:style w:type="character" w:styleId="690" w:customStyle="1">
    <w:name w:val="Заголовок 3 Знак"/>
    <w:basedOn w:val="685"/>
    <w:link w:val="678"/>
    <w:uiPriority w:val="9"/>
    <w:rPr>
      <w:rFonts w:ascii="Arial" w:hAnsi="Arial" w:eastAsia="Arial" w:cs="Arial"/>
      <w:sz w:val="30"/>
      <w:szCs w:val="30"/>
    </w:rPr>
  </w:style>
  <w:style w:type="character" w:styleId="691" w:customStyle="1">
    <w:name w:val="Заголовок 4 Знак"/>
    <w:basedOn w:val="685"/>
    <w:link w:val="679"/>
    <w:uiPriority w:val="9"/>
    <w:rPr>
      <w:rFonts w:ascii="Arial" w:hAnsi="Arial" w:eastAsia="Arial" w:cs="Arial"/>
      <w:b/>
      <w:bCs/>
      <w:sz w:val="26"/>
      <w:szCs w:val="26"/>
    </w:rPr>
  </w:style>
  <w:style w:type="character" w:styleId="692" w:customStyle="1">
    <w:name w:val="Заголовок 5 Знак"/>
    <w:basedOn w:val="685"/>
    <w:link w:val="680"/>
    <w:uiPriority w:val="9"/>
    <w:rPr>
      <w:rFonts w:ascii="Arial" w:hAnsi="Arial" w:eastAsia="Arial" w:cs="Arial"/>
      <w:b/>
      <w:bCs/>
      <w:sz w:val="24"/>
      <w:szCs w:val="24"/>
    </w:rPr>
  </w:style>
  <w:style w:type="character" w:styleId="693" w:customStyle="1">
    <w:name w:val="Заголовок 6 Знак"/>
    <w:basedOn w:val="685"/>
    <w:link w:val="681"/>
    <w:uiPriority w:val="9"/>
    <w:rPr>
      <w:rFonts w:ascii="Arial" w:hAnsi="Arial" w:eastAsia="Arial" w:cs="Arial"/>
      <w:b/>
      <w:bCs/>
      <w:sz w:val="22"/>
      <w:szCs w:val="22"/>
    </w:rPr>
  </w:style>
  <w:style w:type="character" w:styleId="694" w:customStyle="1">
    <w:name w:val="Заголовок 7 Знак"/>
    <w:basedOn w:val="685"/>
    <w:link w:val="68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5" w:customStyle="1">
    <w:name w:val="Заголовок 8 Знак"/>
    <w:basedOn w:val="685"/>
    <w:link w:val="683"/>
    <w:uiPriority w:val="9"/>
    <w:rPr>
      <w:rFonts w:ascii="Arial" w:hAnsi="Arial" w:eastAsia="Arial" w:cs="Arial"/>
      <w:i/>
      <w:iCs/>
      <w:sz w:val="22"/>
      <w:szCs w:val="22"/>
    </w:rPr>
  </w:style>
  <w:style w:type="character" w:styleId="696" w:customStyle="1">
    <w:name w:val="Заголовок 9 Знак"/>
    <w:basedOn w:val="685"/>
    <w:link w:val="684"/>
    <w:uiPriority w:val="9"/>
    <w:rPr>
      <w:rFonts w:ascii="Arial" w:hAnsi="Arial" w:eastAsia="Arial" w:cs="Arial"/>
      <w:i/>
      <w:iCs/>
      <w:sz w:val="21"/>
      <w:szCs w:val="21"/>
    </w:rPr>
  </w:style>
  <w:style w:type="paragraph" w:styleId="697">
    <w:name w:val="No Spacing"/>
    <w:uiPriority w:val="1"/>
    <w:qFormat/>
  </w:style>
  <w:style w:type="paragraph" w:styleId="698">
    <w:name w:val="Title"/>
    <w:basedOn w:val="675"/>
    <w:next w:val="675"/>
    <w:link w:val="69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9" w:customStyle="1">
    <w:name w:val="Название Знак"/>
    <w:basedOn w:val="685"/>
    <w:link w:val="698"/>
    <w:uiPriority w:val="10"/>
    <w:rPr>
      <w:sz w:val="48"/>
      <w:szCs w:val="48"/>
    </w:rPr>
  </w:style>
  <w:style w:type="paragraph" w:styleId="700">
    <w:name w:val="Subtitle"/>
    <w:basedOn w:val="675"/>
    <w:next w:val="675"/>
    <w:link w:val="701"/>
    <w:uiPriority w:val="11"/>
    <w:qFormat/>
    <w:pPr>
      <w:spacing w:before="200" w:after="200"/>
    </w:pPr>
    <w:rPr>
      <w:sz w:val="24"/>
      <w:szCs w:val="24"/>
    </w:rPr>
  </w:style>
  <w:style w:type="character" w:styleId="701" w:customStyle="1">
    <w:name w:val="Подзаголовок Знак"/>
    <w:basedOn w:val="685"/>
    <w:link w:val="700"/>
    <w:uiPriority w:val="11"/>
    <w:rPr>
      <w:sz w:val="24"/>
      <w:szCs w:val="24"/>
    </w:rPr>
  </w:style>
  <w:style w:type="paragraph" w:styleId="702">
    <w:name w:val="Quote"/>
    <w:basedOn w:val="675"/>
    <w:next w:val="675"/>
    <w:link w:val="703"/>
    <w:uiPriority w:val="29"/>
    <w:qFormat/>
    <w:pPr>
      <w:ind w:left="720" w:right="720"/>
    </w:pPr>
    <w:rPr>
      <w:i/>
    </w:rPr>
  </w:style>
  <w:style w:type="character" w:styleId="703" w:customStyle="1">
    <w:name w:val="Цитата 2 Знак"/>
    <w:link w:val="702"/>
    <w:uiPriority w:val="29"/>
    <w:rPr>
      <w:i/>
    </w:rPr>
  </w:style>
  <w:style w:type="paragraph" w:styleId="704">
    <w:name w:val="Intense Quote"/>
    <w:basedOn w:val="675"/>
    <w:next w:val="675"/>
    <w:link w:val="70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5" w:customStyle="1">
    <w:name w:val="Выделенная цитата Знак"/>
    <w:link w:val="704"/>
    <w:uiPriority w:val="30"/>
    <w:rPr>
      <w:i/>
    </w:rPr>
  </w:style>
  <w:style w:type="character" w:styleId="706" w:customStyle="1">
    <w:name w:val="Header Char"/>
    <w:basedOn w:val="685"/>
    <w:uiPriority w:val="99"/>
  </w:style>
  <w:style w:type="paragraph" w:styleId="707">
    <w:name w:val="Footer"/>
    <w:basedOn w:val="675"/>
    <w:link w:val="710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08" w:customStyle="1">
    <w:name w:val="Footer Char"/>
    <w:basedOn w:val="685"/>
    <w:uiPriority w:val="99"/>
  </w:style>
  <w:style w:type="paragraph" w:styleId="709">
    <w:name w:val="Caption"/>
    <w:basedOn w:val="675"/>
    <w:next w:val="67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0" w:customStyle="1">
    <w:name w:val="Нижний колонтитул Знак"/>
    <w:link w:val="707"/>
    <w:uiPriority w:val="99"/>
  </w:style>
  <w:style w:type="table" w:styleId="711" w:customStyle="1">
    <w:name w:val="Table Grid Light"/>
    <w:basedOn w:val="686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2">
    <w:name w:val="Plain Table 1"/>
    <w:basedOn w:val="686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3">
    <w:name w:val="Plain Table 2"/>
    <w:basedOn w:val="686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4">
    <w:name w:val="Plain Table 3"/>
    <w:basedOn w:val="686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5">
    <w:name w:val="Plain Table 4"/>
    <w:basedOn w:val="686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Plain Table 5"/>
    <w:basedOn w:val="686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7">
    <w:name w:val="Grid Table 1 Light"/>
    <w:basedOn w:val="686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1"/>
    <w:basedOn w:val="686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2"/>
    <w:basedOn w:val="686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1 Light - Accent 3"/>
    <w:basedOn w:val="686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4"/>
    <w:basedOn w:val="686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5"/>
    <w:basedOn w:val="686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6"/>
    <w:basedOn w:val="68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2"/>
    <w:basedOn w:val="686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1"/>
    <w:basedOn w:val="686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2"/>
    <w:basedOn w:val="686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2 - Accent 3"/>
    <w:basedOn w:val="686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4"/>
    <w:basedOn w:val="686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5"/>
    <w:basedOn w:val="686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6"/>
    <w:basedOn w:val="68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"/>
    <w:basedOn w:val="686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1"/>
    <w:basedOn w:val="686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2"/>
    <w:basedOn w:val="686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 - Accent 3"/>
    <w:basedOn w:val="686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4"/>
    <w:basedOn w:val="686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5"/>
    <w:basedOn w:val="686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6"/>
    <w:basedOn w:val="68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4"/>
    <w:basedOn w:val="686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9" w:customStyle="1">
    <w:name w:val="Grid Table 4 - Accent 1"/>
    <w:basedOn w:val="686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0" w:customStyle="1">
    <w:name w:val="Grid Table 4 - Accent 2"/>
    <w:basedOn w:val="686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1" w:customStyle="1">
    <w:name w:val="Grid Table 4 - Accent 3"/>
    <w:basedOn w:val="686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2" w:customStyle="1">
    <w:name w:val="Grid Table 4 - Accent 4"/>
    <w:basedOn w:val="686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3" w:customStyle="1">
    <w:name w:val="Grid Table 4 - Accent 5"/>
    <w:basedOn w:val="686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4" w:customStyle="1">
    <w:name w:val="Grid Table 4 - Accent 6"/>
    <w:basedOn w:val="68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5">
    <w:name w:val="Grid Table 5 Dark"/>
    <w:basedOn w:val="68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- Accent 1"/>
    <w:basedOn w:val="68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 - Accent 2"/>
    <w:basedOn w:val="68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8" w:customStyle="1">
    <w:name w:val="Grid Table 5 Dark - Accent 3"/>
    <w:basedOn w:val="68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- Accent 4"/>
    <w:basedOn w:val="68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 - Accent 5"/>
    <w:basedOn w:val="68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 - Accent 6"/>
    <w:basedOn w:val="68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2">
    <w:name w:val="Grid Table 6 Colorful"/>
    <w:basedOn w:val="686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3" w:customStyle="1">
    <w:name w:val="Grid Table 6 Colorful - Accent 1"/>
    <w:basedOn w:val="686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4" w:customStyle="1">
    <w:name w:val="Grid Table 6 Colorful - Accent 2"/>
    <w:basedOn w:val="686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5" w:customStyle="1">
    <w:name w:val="Grid Table 6 Colorful - Accent 3"/>
    <w:basedOn w:val="686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6" w:customStyle="1">
    <w:name w:val="Grid Table 6 Colorful - Accent 4"/>
    <w:basedOn w:val="686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7" w:customStyle="1">
    <w:name w:val="Grid Table 6 Colorful - Accent 5"/>
    <w:basedOn w:val="686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8" w:customStyle="1">
    <w:name w:val="Grid Table 6 Colorful - Accent 6"/>
    <w:basedOn w:val="68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9">
    <w:name w:val="Grid Table 7 Colorful"/>
    <w:basedOn w:val="686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7 Colorful - Accent 1"/>
    <w:basedOn w:val="686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7 Colorful - Accent 2"/>
    <w:basedOn w:val="686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7 Colorful - Accent 3"/>
    <w:basedOn w:val="686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7 Colorful - Accent 4"/>
    <w:basedOn w:val="686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7 Colorful - Accent 5"/>
    <w:basedOn w:val="686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6"/>
    <w:basedOn w:val="68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"/>
    <w:basedOn w:val="686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1"/>
    <w:basedOn w:val="686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2"/>
    <w:basedOn w:val="686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1 Light - Accent 3"/>
    <w:basedOn w:val="686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4"/>
    <w:basedOn w:val="686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5"/>
    <w:basedOn w:val="686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6"/>
    <w:basedOn w:val="686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2"/>
    <w:basedOn w:val="686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1"/>
    <w:basedOn w:val="686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2"/>
    <w:basedOn w:val="686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6" w:customStyle="1">
    <w:name w:val="List Table 2 - Accent 3"/>
    <w:basedOn w:val="686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4"/>
    <w:basedOn w:val="686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5"/>
    <w:basedOn w:val="686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6"/>
    <w:basedOn w:val="68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0">
    <w:name w:val="List Table 3"/>
    <w:basedOn w:val="686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1"/>
    <w:basedOn w:val="686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2"/>
    <w:basedOn w:val="686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3 - Accent 3"/>
    <w:basedOn w:val="686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4"/>
    <w:basedOn w:val="686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5"/>
    <w:basedOn w:val="686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6"/>
    <w:basedOn w:val="68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"/>
    <w:basedOn w:val="686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1"/>
    <w:basedOn w:val="686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2"/>
    <w:basedOn w:val="686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 - Accent 3"/>
    <w:basedOn w:val="686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4"/>
    <w:basedOn w:val="686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5"/>
    <w:basedOn w:val="686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6"/>
    <w:basedOn w:val="68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5 Dark"/>
    <w:basedOn w:val="686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5 Dark - Accent 1"/>
    <w:basedOn w:val="686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 w:customStyle="1">
    <w:name w:val="List Table 5 Dark - Accent 2"/>
    <w:basedOn w:val="686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 w:customStyle="1">
    <w:name w:val="List Table 5 Dark - Accent 3"/>
    <w:basedOn w:val="686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4"/>
    <w:basedOn w:val="686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5"/>
    <w:basedOn w:val="686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6"/>
    <w:basedOn w:val="68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>
    <w:name w:val="List Table 6 Colorful"/>
    <w:basedOn w:val="686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2" w:customStyle="1">
    <w:name w:val="List Table 6 Colorful - Accent 1"/>
    <w:basedOn w:val="686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3" w:customStyle="1">
    <w:name w:val="List Table 6 Colorful - Accent 2"/>
    <w:basedOn w:val="686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4" w:customStyle="1">
    <w:name w:val="List Table 6 Colorful - Accent 3"/>
    <w:basedOn w:val="686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5" w:customStyle="1">
    <w:name w:val="List Table 6 Colorful - Accent 4"/>
    <w:basedOn w:val="686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6" w:customStyle="1">
    <w:name w:val="List Table 6 Colorful - Accent 5"/>
    <w:basedOn w:val="686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7" w:customStyle="1">
    <w:name w:val="List Table 6 Colorful - Accent 6"/>
    <w:basedOn w:val="68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8">
    <w:name w:val="List Table 7 Colorful"/>
    <w:basedOn w:val="686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7 Colorful - Accent 1"/>
    <w:basedOn w:val="686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7 Colorful - Accent 2"/>
    <w:basedOn w:val="686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7 Colorful - Accent 3"/>
    <w:basedOn w:val="686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7 Colorful - Accent 4"/>
    <w:basedOn w:val="686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7 Colorful - Accent 5"/>
    <w:basedOn w:val="686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6"/>
    <w:basedOn w:val="68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ned - Accent"/>
    <w:basedOn w:val="686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6" w:customStyle="1">
    <w:name w:val="Lined - Accent 1"/>
    <w:basedOn w:val="686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7" w:customStyle="1">
    <w:name w:val="Lined - Accent 2"/>
    <w:basedOn w:val="686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8" w:customStyle="1">
    <w:name w:val="Lined - Accent 3"/>
    <w:basedOn w:val="686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9" w:customStyle="1">
    <w:name w:val="Lined - Accent 4"/>
    <w:basedOn w:val="686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0" w:customStyle="1">
    <w:name w:val="Lined - Accent 5"/>
    <w:basedOn w:val="686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1" w:customStyle="1">
    <w:name w:val="Lined - Accent 6"/>
    <w:basedOn w:val="686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2" w:customStyle="1">
    <w:name w:val="Bordered &amp; Lined - Accent"/>
    <w:basedOn w:val="686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Bordered &amp; Lined - Accent 1"/>
    <w:basedOn w:val="686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Bordered &amp; Lined - Accent 2"/>
    <w:basedOn w:val="686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Bordered &amp; Lined - Accent 3"/>
    <w:basedOn w:val="686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Bordered &amp; Lined - Accent 4"/>
    <w:basedOn w:val="686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Bordered &amp; Lined - Accent 5"/>
    <w:basedOn w:val="686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Bordered &amp; Lined - Accent 6"/>
    <w:basedOn w:val="686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"/>
    <w:basedOn w:val="686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0" w:customStyle="1">
    <w:name w:val="Bordered - Accent 1"/>
    <w:basedOn w:val="686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1" w:customStyle="1">
    <w:name w:val="Bordered - Accent 2"/>
    <w:basedOn w:val="686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2" w:customStyle="1">
    <w:name w:val="Bordered - Accent 3"/>
    <w:basedOn w:val="686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3" w:customStyle="1">
    <w:name w:val="Bordered - Accent 4"/>
    <w:basedOn w:val="686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4" w:customStyle="1">
    <w:name w:val="Bordered - Accent 5"/>
    <w:basedOn w:val="686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5" w:customStyle="1">
    <w:name w:val="Bordered - Accent 6"/>
    <w:basedOn w:val="68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6">
    <w:name w:val="footnote text"/>
    <w:basedOn w:val="675"/>
    <w:link w:val="837"/>
    <w:uiPriority w:val="99"/>
    <w:semiHidden/>
    <w:unhideWhenUsed/>
    <w:pPr>
      <w:spacing w:after="40"/>
    </w:pPr>
    <w:rPr>
      <w:sz w:val="18"/>
    </w:rPr>
  </w:style>
  <w:style w:type="character" w:styleId="837" w:customStyle="1">
    <w:name w:val="Текст сноски Знак"/>
    <w:link w:val="836"/>
    <w:uiPriority w:val="99"/>
    <w:rPr>
      <w:sz w:val="18"/>
    </w:rPr>
  </w:style>
  <w:style w:type="character" w:styleId="838">
    <w:name w:val="footnote reference"/>
    <w:basedOn w:val="685"/>
    <w:uiPriority w:val="99"/>
    <w:unhideWhenUsed/>
    <w:rPr>
      <w:vertAlign w:val="superscript"/>
    </w:rPr>
  </w:style>
  <w:style w:type="paragraph" w:styleId="839">
    <w:name w:val="endnote text"/>
    <w:basedOn w:val="675"/>
    <w:link w:val="840"/>
    <w:uiPriority w:val="99"/>
    <w:semiHidden/>
    <w:unhideWhenUsed/>
    <w:rPr>
      <w:sz w:val="20"/>
    </w:rPr>
  </w:style>
  <w:style w:type="character" w:styleId="840" w:customStyle="1">
    <w:name w:val="Текст концевой сноски Знак"/>
    <w:link w:val="839"/>
    <w:uiPriority w:val="99"/>
    <w:rPr>
      <w:sz w:val="20"/>
    </w:rPr>
  </w:style>
  <w:style w:type="character" w:styleId="841">
    <w:name w:val="endnote reference"/>
    <w:basedOn w:val="685"/>
    <w:uiPriority w:val="99"/>
    <w:semiHidden/>
    <w:unhideWhenUsed/>
    <w:rPr>
      <w:vertAlign w:val="superscript"/>
    </w:rPr>
  </w:style>
  <w:style w:type="paragraph" w:styleId="842">
    <w:name w:val="toc 1"/>
    <w:basedOn w:val="675"/>
    <w:next w:val="675"/>
    <w:uiPriority w:val="39"/>
    <w:unhideWhenUsed/>
    <w:pPr>
      <w:spacing w:after="57"/>
    </w:pPr>
  </w:style>
  <w:style w:type="paragraph" w:styleId="843">
    <w:name w:val="toc 2"/>
    <w:basedOn w:val="675"/>
    <w:next w:val="675"/>
    <w:uiPriority w:val="39"/>
    <w:unhideWhenUsed/>
    <w:pPr>
      <w:ind w:left="283"/>
      <w:spacing w:after="57"/>
    </w:pPr>
  </w:style>
  <w:style w:type="paragraph" w:styleId="844">
    <w:name w:val="toc 3"/>
    <w:basedOn w:val="675"/>
    <w:next w:val="675"/>
    <w:uiPriority w:val="39"/>
    <w:unhideWhenUsed/>
    <w:pPr>
      <w:ind w:left="567"/>
      <w:spacing w:after="57"/>
    </w:pPr>
  </w:style>
  <w:style w:type="paragraph" w:styleId="845">
    <w:name w:val="toc 4"/>
    <w:basedOn w:val="675"/>
    <w:next w:val="675"/>
    <w:uiPriority w:val="39"/>
    <w:unhideWhenUsed/>
    <w:pPr>
      <w:ind w:left="850"/>
      <w:spacing w:after="57"/>
    </w:pPr>
  </w:style>
  <w:style w:type="paragraph" w:styleId="846">
    <w:name w:val="toc 5"/>
    <w:basedOn w:val="675"/>
    <w:next w:val="675"/>
    <w:uiPriority w:val="39"/>
    <w:unhideWhenUsed/>
    <w:pPr>
      <w:ind w:left="1134"/>
      <w:spacing w:after="57"/>
    </w:pPr>
  </w:style>
  <w:style w:type="paragraph" w:styleId="847">
    <w:name w:val="toc 6"/>
    <w:basedOn w:val="675"/>
    <w:next w:val="675"/>
    <w:uiPriority w:val="39"/>
    <w:unhideWhenUsed/>
    <w:pPr>
      <w:ind w:left="1417"/>
      <w:spacing w:after="57"/>
    </w:pPr>
  </w:style>
  <w:style w:type="paragraph" w:styleId="848">
    <w:name w:val="toc 7"/>
    <w:basedOn w:val="675"/>
    <w:next w:val="675"/>
    <w:uiPriority w:val="39"/>
    <w:unhideWhenUsed/>
    <w:pPr>
      <w:ind w:left="1701"/>
      <w:spacing w:after="57"/>
    </w:pPr>
  </w:style>
  <w:style w:type="paragraph" w:styleId="849">
    <w:name w:val="toc 8"/>
    <w:basedOn w:val="675"/>
    <w:next w:val="675"/>
    <w:uiPriority w:val="39"/>
    <w:unhideWhenUsed/>
    <w:pPr>
      <w:ind w:left="1984"/>
      <w:spacing w:after="57"/>
    </w:pPr>
  </w:style>
  <w:style w:type="paragraph" w:styleId="850">
    <w:name w:val="toc 9"/>
    <w:basedOn w:val="675"/>
    <w:next w:val="675"/>
    <w:uiPriority w:val="39"/>
    <w:unhideWhenUsed/>
    <w:pPr>
      <w:ind w:left="2268"/>
      <w:spacing w:after="57"/>
    </w:pPr>
  </w:style>
  <w:style w:type="paragraph" w:styleId="851">
    <w:name w:val="TOC Heading"/>
    <w:uiPriority w:val="39"/>
    <w:unhideWhenUsed/>
  </w:style>
  <w:style w:type="paragraph" w:styleId="852">
    <w:name w:val="table of figures"/>
    <w:basedOn w:val="675"/>
    <w:next w:val="675"/>
    <w:uiPriority w:val="99"/>
    <w:unhideWhenUsed/>
  </w:style>
  <w:style w:type="character" w:styleId="853">
    <w:name w:val="Hyperlink"/>
    <w:basedOn w:val="685"/>
    <w:uiPriority w:val="99"/>
    <w:unhideWhenUsed/>
    <w:rPr>
      <w:color w:val="0000ff"/>
      <w:u w:val="single"/>
    </w:rPr>
  </w:style>
  <w:style w:type="paragraph" w:styleId="854">
    <w:name w:val="Header"/>
    <w:basedOn w:val="675"/>
    <w:link w:val="855"/>
    <w:pPr>
      <w:tabs>
        <w:tab w:val="center" w:pos="4153" w:leader="none"/>
        <w:tab w:val="right" w:pos="8306" w:leader="none"/>
      </w:tabs>
    </w:pPr>
    <w:rPr>
      <w:rFonts w:eastAsia="Times New Roman"/>
      <w:sz w:val="24"/>
      <w:szCs w:val="24"/>
    </w:rPr>
  </w:style>
  <w:style w:type="character" w:styleId="855" w:customStyle="1">
    <w:name w:val="Верхний колонтитул Знак"/>
    <w:basedOn w:val="685"/>
    <w:link w:val="854"/>
    <w:rPr>
      <w:rFonts w:eastAsia="Times New Roman"/>
      <w:sz w:val="24"/>
      <w:szCs w:val="24"/>
    </w:rPr>
  </w:style>
  <w:style w:type="paragraph" w:styleId="856" w:customStyle="1">
    <w:name w:val="ФИО"/>
    <w:basedOn w:val="675"/>
    <w:link w:val="857"/>
    <w:rPr>
      <w:rFonts w:eastAsia="Times New Roman"/>
      <w:b/>
      <w:sz w:val="24"/>
      <w:szCs w:val="24"/>
    </w:rPr>
  </w:style>
  <w:style w:type="character" w:styleId="857" w:customStyle="1">
    <w:name w:val="ФИО Знак"/>
    <w:link w:val="856"/>
    <w:rPr>
      <w:rFonts w:eastAsia="Times New Roman"/>
      <w:b/>
      <w:sz w:val="24"/>
      <w:szCs w:val="24"/>
    </w:rPr>
  </w:style>
  <w:style w:type="paragraph" w:styleId="858">
    <w:name w:val="Balloon Text"/>
    <w:basedOn w:val="675"/>
    <w:link w:val="859"/>
    <w:uiPriority w:val="99"/>
    <w:semiHidden/>
    <w:unhideWhenUsed/>
    <w:rPr>
      <w:rFonts w:ascii="Tahoma" w:hAnsi="Tahoma" w:cs="Tahoma"/>
      <w:sz w:val="16"/>
      <w:szCs w:val="16"/>
    </w:rPr>
  </w:style>
  <w:style w:type="character" w:styleId="859" w:customStyle="1">
    <w:name w:val="Текст выноски Знак"/>
    <w:basedOn w:val="685"/>
    <w:link w:val="858"/>
    <w:uiPriority w:val="99"/>
    <w:semiHidden/>
    <w:rPr>
      <w:rFonts w:ascii="Tahoma" w:hAnsi="Tahoma" w:cs="Tahoma"/>
      <w:sz w:val="16"/>
      <w:szCs w:val="16"/>
    </w:rPr>
  </w:style>
  <w:style w:type="paragraph" w:styleId="860">
    <w:name w:val="List Paragraph"/>
    <w:basedOn w:val="675"/>
    <w:uiPriority w:val="34"/>
    <w:qFormat/>
    <w:pPr>
      <w:contextualSpacing/>
      <w:ind w:left="720"/>
    </w:pPr>
  </w:style>
  <w:style w:type="table" w:styleId="861">
    <w:name w:val="Table Grid"/>
    <w:basedOn w:val="686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62" w:customStyle="1">
    <w:name w:val="Default"/>
    <w:rPr>
      <w:color w:val="000000"/>
      <w:sz w:val="24"/>
      <w:szCs w:val="24"/>
    </w:rPr>
  </w:style>
  <w:style w:type="paragraph" w:styleId="863">
    <w:name w:val="Body Text"/>
    <w:basedOn w:val="675"/>
    <w:link w:val="864"/>
    <w:rPr>
      <w:rFonts w:eastAsia="Times New Roman"/>
      <w:bCs/>
      <w:sz w:val="32"/>
      <w:szCs w:val="24"/>
    </w:rPr>
  </w:style>
  <w:style w:type="character" w:styleId="864" w:customStyle="1">
    <w:name w:val="Основной текст Знак"/>
    <w:basedOn w:val="685"/>
    <w:link w:val="863"/>
    <w:rPr>
      <w:rFonts w:eastAsia="Times New Roman"/>
      <w:bCs/>
      <w:sz w:val="32"/>
      <w:szCs w:val="24"/>
    </w:rPr>
  </w:style>
  <w:style w:type="character" w:styleId="865">
    <w:name w:val="FollowedHyperlink"/>
    <w:basedOn w:val="685"/>
    <w:uiPriority w:val="99"/>
    <w:semiHidden/>
    <w:unhideWhenUsed/>
    <w:rPr>
      <w:color w:val="800080" w:themeColor="followed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https://torgi.gov.ru/new/private/notice/view/650987c171ef3b4b2ca5bfe0" TargetMode="External"/><Relationship Id="rId11" Type="http://schemas.openxmlformats.org/officeDocument/2006/relationships/hyperlink" Target="mailto:dugsto@gov70.ru" TargetMode="External"/><Relationship Id="rId12" Type="http://schemas.openxmlformats.org/officeDocument/2006/relationships/hyperlink" Target="mailto:fai@gki.tomsk.ru" TargetMode="External"/><Relationship Id="rId13" Type="http://schemas.openxmlformats.org/officeDocument/2006/relationships/hyperlink" Target="https://www.torgi.gov.&#1075;u" TargetMode="External"/><Relationship Id="rId14" Type="http://schemas.openxmlformats.org/officeDocument/2006/relationships/hyperlink" Target="https://dugs.tomsk.gov.ru/privatizatsija-prodazha-gosudarstvennogo-imuschestva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B383F9-2691-4E72-BECF-A9495CE0D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revision>93</cp:revision>
  <dcterms:created xsi:type="dcterms:W3CDTF">2020-10-14T03:11:00Z</dcterms:created>
  <dcterms:modified xsi:type="dcterms:W3CDTF">2023-09-19T11:38:16Z</dcterms:modified>
</cp:coreProperties>
</file>