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ИНФОРМАЦИОННОЕ СООБЩЕНИЕ</w:t>
      </w:r>
      <w:r>
        <w:rPr>
          <w:rFonts w:ascii="PT Astra Serif" w:hAnsi="PT Astra Serif"/>
          <w:sz w:val="20"/>
          <w:szCs w:val="20"/>
        </w:rPr>
      </w:r>
    </w:p>
    <w:p>
      <w:pPr>
        <w:spacing w:line="12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23"/>
          <w:szCs w:val="23"/>
        </w:rPr>
      </w:pPr>
      <w:r>
        <w:rPr>
          <w:rFonts w:ascii="PT Astra Serif" w:hAnsi="PT Astra Serif" w:eastAsia="Times New Roman"/>
          <w:b/>
          <w:bCs/>
          <w:sz w:val="23"/>
          <w:szCs w:val="23"/>
        </w:rPr>
        <w:t xml:space="preserve">о </w:t>
      </w:r>
      <w:r>
        <w:rPr>
          <w:rFonts w:ascii="PT Astra Serif" w:hAnsi="PT Astra Serif" w:eastAsia="Times New Roman"/>
          <w:b/>
          <w:bCs/>
          <w:sz w:val="23"/>
          <w:szCs w:val="23"/>
        </w:rPr>
        <w:t xml:space="preserve">проведении открытого аукциона в электронной форме по продаже государственного имущества Томской области</w:t>
      </w:r>
      <w:r>
        <w:rPr>
          <w:rFonts w:ascii="PT Astra Serif" w:hAnsi="PT Astra Serif" w:eastAsia="Times New Roman"/>
          <w:b/>
          <w:bCs/>
          <w:sz w:val="23"/>
          <w:szCs w:val="23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ind w:left="120" w:right="-178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Cs/>
          <w:color w:val="c00000"/>
          <w:sz w:val="24"/>
          <w:szCs w:val="24"/>
          <w:u w:val="single"/>
        </w:rPr>
        <w:t xml:space="preserve">Внимание!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Данное информационное сообщение является публичной офертой для заключения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  <w:r>
        <w:rPr>
          <w:rFonts w:ascii="PT Astra Serif" w:hAnsi="PT Astra Serif"/>
          <w:sz w:val="20"/>
          <w:szCs w:val="20"/>
        </w:rPr>
      </w:r>
    </w:p>
    <w:p>
      <w:pPr>
        <w:spacing w:line="334" w:lineRule="exact"/>
        <w:rPr>
          <w:rFonts w:ascii="PT Astra Serif" w:hAnsi="PT Astra Serif" w:cs="PT Astra Serif"/>
          <w:b/>
          <w:bCs/>
          <w:color w:val="000000" w:themeColor="text1"/>
          <w:sz w:val="26"/>
          <w:szCs w:val="26"/>
          <w:shd w:val="clear" w:color="auto" w:fill="ffffff"/>
        </w:rPr>
      </w:pPr>
      <w:r>
        <w:rPr>
          <w:rFonts w:ascii="PT Astra Serif" w:hAnsi="PT Astra Serif"/>
          <w:b/>
          <w:bCs/>
          <w:sz w:val="21"/>
          <w:szCs w:val="21"/>
          <w:shd w:val="clear" w:color="auto" w:fill="ffffff"/>
        </w:rPr>
        <w:t xml:space="preserve">Номер процедуры на сайте РТС-Тендер</w:t>
      </w:r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:</w:t>
      </w:r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bookmarkStart w:id="0" w:name="_GoBack"/>
      <w:r>
        <w:rPr>
          <w:color w:val="000000" w:themeColor="text1"/>
          <w:sz w:val="26"/>
          <w:szCs w:val="26"/>
        </w:rPr>
      </w:r>
      <w:bookmarkEnd w:id="0"/>
      <w:r>
        <w:rPr>
          <w:color w:val="000000" w:themeColor="text1"/>
          <w:sz w:val="26"/>
          <w:szCs w:val="26"/>
        </w:rPr>
      </w:r>
      <w:hyperlink r:id="rId10" w:tooltip="https://torgi.gov.ru/new/private/notice/view/651412c2633204236f14838b" w:history="1">
        <w:r>
          <w:rPr>
            <w:rStyle w:val="854"/>
            <w:rFonts w:ascii="PT Astra Serif" w:hAnsi="PT Astra Serif" w:eastAsia="PT Astra Serif" w:cs="PT Astra Serif"/>
            <w:b/>
            <w:color w:val="000000" w:themeColor="text1"/>
            <w:sz w:val="26"/>
            <w:szCs w:val="26"/>
            <w:u w:val="none"/>
          </w:rPr>
          <w:t xml:space="preserve">№21000022460000000039</w:t>
        </w:r>
      </w:hyperlink>
      <w:r>
        <w:rPr>
          <w:rFonts w:ascii="PT Astra Serif" w:hAnsi="PT Astra Serif" w:eastAsia="PT Astra Serif" w:cs="PT Astra Serif"/>
          <w:color w:val="000000" w:themeColor="text1"/>
          <w:sz w:val="26"/>
          <w:szCs w:val="26"/>
        </w:rPr>
      </w:r>
      <w:r>
        <w:rPr>
          <w:rFonts w:ascii="PT Astra Serif" w:hAnsi="PT Astra Serif" w:cs="PT Astra Serif"/>
          <w:b/>
          <w:bCs/>
          <w:color w:val="000000" w:themeColor="text1"/>
          <w:sz w:val="26"/>
          <w:szCs w:val="26"/>
          <w:shd w:val="clear" w:color="auto" w:fill="ffffff"/>
        </w:rPr>
      </w:r>
    </w:p>
    <w:p>
      <w:pPr>
        <w:spacing w:line="334" w:lineRule="exact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1. Общие сведения о продаже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tbl>
      <w:tblPr>
        <w:tblStyle w:val="862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Наименование государственного органа, принявшего решение об условиях приватизации имущества, реквизиты указанного решения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3" w:lineRule="exact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государственного органа,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Администрация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Реквизиты решения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об условиях приватизации имущества: распоряжение 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дминистрации Томск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ой области от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13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июля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20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23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года №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470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-ра</w:t>
            </w:r>
            <w:r>
              <w:rPr>
                <w:rFonts w:ascii="PT Astra Serif" w:hAnsi="PT Astra Serif" w:eastAsia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«Об условиях приватизации государственного имущества Томской области»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Собственник имущества: Томская область в лице Департамента по управлению государственной собственностью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почтовый адрес: 634034,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г.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Томск, пр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 Кирова, 20, телефон: +7(3822)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-703,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11,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12, адрес электр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онной почты: </w:t>
            </w:r>
            <w:hyperlink r:id="rId11" w:tooltip="mailto:dugsto@gov70.ru" w:history="1">
              <w:r>
                <w:rPr>
                  <w:rStyle w:val="854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 xml:space="preserve">dugsto@gov70.ru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hyperlink r:id="rId12" w:tooltip="mailto:fai@gki.tomsk.ru" w:history="1">
              <w:r>
                <w:rPr>
                  <w:rStyle w:val="854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fai</w:t>
              </w:r>
              <w:r>
                <w:rPr>
                  <w:rStyle w:val="854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</w:rPr>
                <w:t xml:space="preserve">@</w:t>
              </w:r>
              <w:r>
                <w:rPr>
                  <w:rStyle w:val="854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gki</w:t>
              </w:r>
              <w:r>
                <w:rPr>
                  <w:rStyle w:val="854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</w:rPr>
                <w:t xml:space="preserve">.</w:t>
              </w:r>
              <w:r>
                <w:rPr>
                  <w:rStyle w:val="854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tomsk</w:t>
              </w:r>
              <w:r>
                <w:rPr>
                  <w:rStyle w:val="854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</w:rPr>
                <w:t xml:space="preserve">.</w:t>
              </w:r>
              <w:r>
                <w:rPr>
                  <w:rStyle w:val="854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shoi@gki.tomsk.ru, </w:t>
            </w:r>
            <w:r>
              <w:rPr>
                <w:rFonts w:ascii="PT Astra Serif" w:hAnsi="PT Astra Serif" w:eastAsia="Times New Roman"/>
                <w:sz w:val="24"/>
                <w:szCs w:val="24"/>
                <w:lang w:val="en-US"/>
              </w:rPr>
              <w:t xml:space="preserve">clv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@gki.tomsk.ru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Организатор торгов - электронная торговая площадк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 ООО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www.rts-tender.ru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)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 и почтовый адрес: 121151, г. Москва, н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абережная Тараса Шевченко, д.23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А,</w:t>
            </w:r>
            <w:r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 xml:space="preserve">499) 653-77-00,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дрес электронной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почты: iSupport@rts-tender.ru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854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</w:t>
            </w:r>
            <w:r>
              <w:rPr>
                <w:rStyle w:val="854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r>
              <w:rPr>
                <w:rStyle w:val="854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</w:t>
            </w:r>
            <w:r>
              <w:rPr>
                <w:rStyle w:val="854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.</w:t>
            </w:r>
            <w:r>
              <w:rPr>
                <w:rStyle w:val="854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Ф</w:t>
            </w:r>
            <w:r>
              <w:rPr>
                <w:rStyle w:val="854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рунзе</w:t>
            </w:r>
            <w:r>
              <w:rPr>
                <w:rStyle w:val="854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, д. 20, офис 308, телефон: +7 (3822) 98-41-99, адрес электронной почты: a.polyakov@rts-tender</w:t>
            </w:r>
            <w:r>
              <w:rPr>
                <w:rStyle w:val="854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.ru, a.malyshev@rts-tender.ru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 и характеристика имущества</w:t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hd w:val="clear" w:color="auto" w:fill="ffffff"/>
              <w:widowControl w:val="off"/>
              <w:tabs>
                <w:tab w:val="left" w:pos="1134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Нежилое здание (строение), назначение: нежилое, 1-этажное, площадь 623,8 кв. м, кадастровый номер 70:21:0100006:643 адрес: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Томская область, г. Томск, ул. Фестивальная, д. 9, строен. 1 с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b/>
                <w:sz w:val="24"/>
                <w:szCs w:val="24"/>
                <w:lang w:eastAsia="en-US"/>
              </w:rPr>
              <w:t xml:space="preserve">земельным участком, занимаемым объектом недвижимости, категория земель: земли населенных пунктов,  виды разрешенного использования: для эксплуатации и обслуживания зданий, площадь 1485 кв. м, кадастровый номер 70:21:0100006:1482, адрес:</w:t>
            </w:r>
            <w:r>
              <w:rPr>
                <w:rFonts w:ascii="PT Astra Serif" w:hAnsi="PT Astra Serif"/>
                <w:b/>
                <w:sz w:val="24"/>
                <w:szCs w:val="24"/>
                <w:lang w:eastAsia="en-US"/>
              </w:rPr>
              <w:t xml:space="preserve"> Российская Федерация, Томская область, г. Томск, ул. Фестивальная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(далее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- имущество).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jc w:val="both"/>
              <w:shd w:val="clear" w:color="auto" w:fill="ffffff"/>
              <w:widowControl w:val="off"/>
              <w:tabs>
                <w:tab w:val="left" w:pos="1134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имущество не является предметом спора и не находится под арестом, не является предметом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залога.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3.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Способ приватизации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Аукцион в электронной форме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>
          <w:trHeight w:val="278"/>
        </w:trPr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4.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Начальная цена продажи имущества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8 743 413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в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осемь миллионов семьсот сорок три тысячи четыреста тринадцать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рубле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 учетом налога на добавленную стоимость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(далее –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НДС)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5.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Форма подачи предложений о цене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Открытая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6.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Условия и сроки платежа, 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30 (тридцати) рабочих дней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со дня заключения договора купли-продажи.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Получатель: ИНН 7017018464, КПП 701701001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лицевой счет 04652001360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64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№ 03100643000000016500</w:t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pStyle w:val="864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единый казначейский счет № 40102810245370000058</w:t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64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  <w:r>
              <w:rPr>
                <w:rFonts w:ascii="PT Astra Serif" w:hAnsi="PT Astra Serif"/>
                <w:b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Код бюджетной классификации (КБК):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80111413020020000410.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Победитель аукциона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самостоятельно исчисляет и уплачивает НДС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7.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задатка, срок и порядок его внесения, 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задатка: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874 341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в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осемьсот семьдесят четыре тысячи триста сорок один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рубль 30 копеек (10% начальной цены).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Задаток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должен поступить не позднее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31.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10.202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Получатель ООО «РТС-тендер»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Филиал «Корпоративный» ПАО «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Совкомбанк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40702810512030016362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30101810445250000360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044525360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 ИНН 7710357167, КПП 773001001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№ аналитического счета _________, без НДС.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Документом, подтверждающим поступление задатка на счет,  является выписка с этого счета.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8.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Величина повышения начальной цены  («шаг аукциона»)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437 170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етыреста тридцать семь тысяч сто семьдесят</w:t>
            </w:r>
            <w:r>
              <w:rPr>
                <w:rFonts w:ascii="PT Astra Serif" w:hAnsi="PT Astra Serif"/>
                <w:sz w:val="24"/>
              </w:rPr>
              <w:t xml:space="preserve">) рублей 65 копеек</w:t>
            </w:r>
            <w:r>
              <w:rPr>
                <w:rFonts w:ascii="PT Astra Serif" w:hAnsi="PT Astra Serif"/>
                <w:sz w:val="24"/>
              </w:rPr>
              <w:t xml:space="preserve"> (5% начальной цены).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9.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Порядок, место, даты начала и окончания 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установлен постановлением Правительства Российской Федерации от 27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.08.2012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электронная торговая площадк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а ООО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www.rts-tender.ru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Одно лицо имеет право подать только одну заявку.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Дата начала 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30 сентября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20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23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года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09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часов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00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Дата окончания подачи зая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вок: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31 октября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202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год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18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часов 00 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10.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Исчерпывающий п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еречень представляемых участниками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торгов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документов и требования к их оформлению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 форме электронных документов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представляют следующие документы: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заявку на участие в аукционе установленной формы;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заверенные копии учредительных документов;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содержащий сведения о доле Российской Фе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лица обладает правом действовать от имени юридического лица без доверенности;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Физические лица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представляют следующие документы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заявку на участие в аукционе установленной формы;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копию всех листов документа, удостоверяющего личность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 если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11.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 заключения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течение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пяти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рабочих дней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 даты подведения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итогов аукциона.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ознакомления покупателей с иной информацией, условиями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со дня начала приема заявок по адресу: г.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Томск, пр. Кирова, 20, кабинет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13, 14, номера телефонов: (3822)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11, 551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-703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Проект договора купли-продажи имущества содержится в документации об аукционе.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3" w:tooltip="https://www.torgi.gov.гu" w:history="1">
              <w:r>
                <w:rPr>
                  <w:rStyle w:val="854"/>
                  <w:rFonts w:ascii="PT Astra Serif" w:hAnsi="PT Astra Serif" w:eastAsia="Times New Roman"/>
                  <w:sz w:val="24"/>
                  <w:szCs w:val="24"/>
                </w:rPr>
                <w:t xml:space="preserve">https://www.torgi.gov.гu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4" w:tooltip="https://dugs.tomsk.gov.ru/privatizatsija-prodazha-gosudarstvennogo-imuschestva" w:history="1">
              <w:r>
                <w:rPr>
                  <w:rStyle w:val="854"/>
                  <w:rFonts w:ascii="PT Astra Serif" w:hAnsi="PT Astra Serif" w:eastAsia="Times New Roman"/>
                  <w:sz w:val="24"/>
                  <w:szCs w:val="24"/>
                </w:rPr>
                <w:t xml:space="preserve">https://dugs.tomsk.gov.ru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приватизации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Покупателями г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осударственного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имущества могут быть любые физические и юридические лица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 исключением: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государственных и муниципальных унитарных предприятий, государственных и муниципальных учреждений;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Министерством финансов Российской Федерации перечень государств и территорий, предоставляющи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бенефициарных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Федерации;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Понятие «контролирующее лицо» используется в том же значении, что и в ста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бенефициарный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14.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ень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определения участников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торгов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1 ноября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202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года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Продавец рассматривает заявки и документы пре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определения победител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я аукциона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заявляются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участниками аукциона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открыто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 ходе проведени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В случае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если заявку на участие в аукционе подало только одно лицо, признанное единственным участником аукциона, договор заключается с таким лицом по началь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ной цене продажи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В случае отказа лица, признанного единственным участником аукциона, от заключения договора аукцион признается несостоявшимся.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и срок подведения итогов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продажи государственного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: электронная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торговая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площадк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ООО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«РТС – тендер» 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www.rts-tender.ru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: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2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ноября 202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года</w:t>
            </w:r>
            <w:r>
              <w:rPr>
                <w:rFonts w:ascii="PT Astra Serif" w:hAnsi="PT Astra Serif" w:eastAsia="Times New Roman"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часов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государственного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имущества, объявленных в течение года, предшествующего его продаже, и об итогах торгов по продаже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before="100" w:beforeAutospacing="1"/>
              <w:rPr>
                <w:rFonts w:ascii="PT Astra Serif" w:hAnsi="PT Astra Serif" w:eastAsia="Times New Roman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Торги по продаже государственного имущества, назначенные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 25.08.202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3, 29.09.2023,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не состоялись по причине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отсутствия претендентов, признанных участниками аукциона.</w:t>
            </w:r>
            <w:r>
              <w:rPr>
                <w:sz w:val="24"/>
                <w:szCs w:val="24"/>
              </w:rPr>
            </w:r>
            <w:r>
              <w:rPr>
                <w:rFonts w:ascii="PT Astra Serif" w:hAnsi="PT Astra Serif" w:eastAsia="Times New Roman"/>
              </w:rPr>
            </w:r>
          </w:p>
          <w:p>
            <w:pPr>
              <w:jc w:val="both"/>
              <w:spacing w:before="100" w:beforeAutospacing="1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</w:tbl>
    <w:p>
      <w:pPr>
        <w:jc w:val="center"/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2. Общие положения</w:t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</w:p>
    <w:p>
      <w:pPr>
        <w:ind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Томской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с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:</w:t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27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</w:t>
      </w:r>
      <w:r>
        <w:rPr>
          <w:rFonts w:ascii="PT Astra Serif" w:hAnsi="PT Astra Serif" w:eastAsia="Times New Roman"/>
          <w:sz w:val="24"/>
          <w:szCs w:val="24"/>
        </w:rPr>
        <w:t xml:space="preserve">Федеральным законом от 21 декабря 2001 года № 178-ФЗ «О приватизации государственного и муниципального имущества»;</w:t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0"/>
        <w:jc w:val="both"/>
        <w:tabs>
          <w:tab w:val="left" w:pos="840" w:leader="none"/>
          <w:tab w:val="left" w:pos="2740" w:leader="none"/>
          <w:tab w:val="left" w:pos="4500" w:leader="none"/>
          <w:tab w:val="left" w:pos="5940" w:leader="none"/>
          <w:tab w:val="left" w:pos="7320" w:leader="none"/>
          <w:tab w:val="left" w:pos="7800" w:leader="none"/>
          <w:tab w:val="left" w:pos="8280" w:leader="none"/>
          <w:tab w:val="left" w:pos="9280" w:leader="none"/>
          <w:tab w:val="left" w:pos="1000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- </w:t>
      </w:r>
      <w:r>
        <w:rPr>
          <w:rFonts w:ascii="PT Astra Serif" w:hAnsi="PT Astra Serif" w:eastAsia="Times New Roman"/>
          <w:sz w:val="24"/>
          <w:szCs w:val="24"/>
        </w:rPr>
        <w:t xml:space="preserve">постановлением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Правительства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Российской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Федерации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от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27</w:t>
      </w:r>
      <w:r>
        <w:rPr>
          <w:rFonts w:ascii="PT Astra Serif" w:hAnsi="PT Astra Serif" w:eastAsia="Times New Roman"/>
          <w:sz w:val="24"/>
          <w:szCs w:val="24"/>
        </w:rPr>
        <w:t xml:space="preserve">.08.</w:t>
      </w:r>
      <w:r>
        <w:rPr>
          <w:rFonts w:ascii="PT Astra Serif" w:hAnsi="PT Astra Serif" w:eastAsia="Times New Roman"/>
          <w:sz w:val="24"/>
          <w:szCs w:val="24"/>
        </w:rPr>
        <w:t xml:space="preserve">2012</w:t>
      </w:r>
      <w:r>
        <w:rPr>
          <w:rFonts w:ascii="PT Astra Serif" w:hAnsi="PT Astra Serif" w:eastAsia="Times New Roman"/>
          <w:sz w:val="23"/>
          <w:szCs w:val="23"/>
        </w:rPr>
        <w:t xml:space="preserve"> № </w:t>
      </w:r>
      <w:r>
        <w:rPr>
          <w:rFonts w:ascii="PT Astra Serif" w:hAnsi="PT Astra Serif" w:eastAsia="Times New Roman"/>
          <w:sz w:val="24"/>
          <w:szCs w:val="24"/>
        </w:rPr>
        <w:t xml:space="preserve">860 «Об организации и проведении продажи государственного и муниципального имущества в электронной форме»;</w:t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567"/>
        <w:jc w:val="both"/>
        <w:spacing w:line="230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</w:t>
      </w:r>
      <w:r>
        <w:rPr>
          <w:rFonts w:ascii="PT Astra Serif" w:hAnsi="PT Astra Serif" w:eastAsia="Times New Roman"/>
          <w:sz w:val="24"/>
          <w:szCs w:val="24"/>
        </w:rPr>
        <w:t xml:space="preserve">Законом </w:t>
      </w:r>
      <w:r>
        <w:rPr>
          <w:rFonts w:ascii="PT Astra Serif" w:hAnsi="PT Astra Serif" w:eastAsia="Times New Roman"/>
          <w:sz w:val="24"/>
          <w:szCs w:val="24"/>
        </w:rPr>
        <w:t xml:space="preserve">Томской</w:t>
      </w:r>
      <w:r>
        <w:rPr>
          <w:rFonts w:ascii="PT Astra Serif" w:hAnsi="PT Astra Serif" w:eastAsia="Times New Roman"/>
          <w:sz w:val="24"/>
          <w:szCs w:val="24"/>
        </w:rPr>
        <w:t xml:space="preserve"> области от </w:t>
      </w:r>
      <w:r>
        <w:rPr>
          <w:rFonts w:ascii="PT Astra Serif" w:hAnsi="PT Astra Serif" w:eastAsia="Times New Roman"/>
          <w:sz w:val="24"/>
          <w:szCs w:val="24"/>
        </w:rPr>
        <w:t xml:space="preserve">12 июля</w:t>
      </w:r>
      <w:r>
        <w:rPr>
          <w:rFonts w:ascii="PT Astra Serif" w:hAnsi="PT Astra Serif" w:eastAsia="Times New Roman"/>
          <w:sz w:val="24"/>
          <w:szCs w:val="24"/>
        </w:rPr>
        <w:t xml:space="preserve"> 201</w:t>
      </w:r>
      <w:r>
        <w:rPr>
          <w:rFonts w:ascii="PT Astra Serif" w:hAnsi="PT Astra Serif" w:eastAsia="Times New Roman"/>
          <w:sz w:val="24"/>
          <w:szCs w:val="24"/>
        </w:rPr>
        <w:t xml:space="preserve">8</w:t>
      </w:r>
      <w:r>
        <w:rPr>
          <w:rFonts w:ascii="PT Astra Serif" w:hAnsi="PT Astra Serif" w:eastAsia="Times New Roman"/>
          <w:sz w:val="24"/>
          <w:szCs w:val="24"/>
        </w:rPr>
        <w:t xml:space="preserve"> года № </w:t>
      </w:r>
      <w:r>
        <w:rPr>
          <w:rFonts w:ascii="PT Astra Serif" w:hAnsi="PT Astra Serif" w:eastAsia="Times New Roman"/>
          <w:sz w:val="24"/>
          <w:szCs w:val="24"/>
        </w:rPr>
        <w:t xml:space="preserve">80-ОЗ</w:t>
      </w:r>
      <w:r>
        <w:rPr>
          <w:rFonts w:ascii="PT Astra Serif" w:hAnsi="PT Astra Serif" w:eastAsia="Times New Roman"/>
          <w:sz w:val="24"/>
          <w:szCs w:val="24"/>
        </w:rPr>
        <w:t xml:space="preserve"> «</w:t>
      </w:r>
      <w:r>
        <w:rPr>
          <w:rFonts w:ascii="PT Astra Serif" w:hAnsi="PT Astra Serif" w:eastAsia="Times New Roman"/>
          <w:sz w:val="24"/>
          <w:szCs w:val="24"/>
        </w:rPr>
        <w:t xml:space="preserve">О приватизации государственного имущества Томской области</w:t>
      </w:r>
      <w:r>
        <w:rPr>
          <w:rFonts w:ascii="PT Astra Serif" w:hAnsi="PT Astra Serif" w:eastAsia="Times New Roman"/>
          <w:sz w:val="24"/>
          <w:szCs w:val="24"/>
        </w:rPr>
        <w:t xml:space="preserve">»;</w:t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7"/>
        <w:jc w:val="both"/>
        <w:spacing w:line="234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</w:t>
      </w:r>
      <w:r>
        <w:rPr>
          <w:rFonts w:ascii="PT Astra Serif" w:hAnsi="PT Astra Serif" w:eastAsia="Times New Roman"/>
          <w:sz w:val="24"/>
          <w:szCs w:val="24"/>
        </w:rPr>
        <w:t xml:space="preserve">постановлением </w:t>
      </w:r>
      <w:r>
        <w:rPr>
          <w:rFonts w:ascii="PT Astra Serif" w:hAnsi="PT Astra Serif" w:eastAsia="Times New Roman"/>
          <w:sz w:val="24"/>
          <w:szCs w:val="24"/>
        </w:rPr>
        <w:t xml:space="preserve">Законодательной Думы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Томской</w:t>
      </w:r>
      <w:r>
        <w:rPr>
          <w:rFonts w:ascii="PT Astra Serif" w:hAnsi="PT Astra Serif" w:eastAsia="Times New Roman"/>
          <w:sz w:val="24"/>
          <w:szCs w:val="24"/>
        </w:rPr>
        <w:t xml:space="preserve"> области от </w:t>
      </w:r>
      <w:r>
        <w:rPr>
          <w:rFonts w:ascii="PT Astra Serif" w:hAnsi="PT Astra Serif" w:eastAsia="Times New Roman"/>
          <w:sz w:val="24"/>
          <w:szCs w:val="24"/>
        </w:rPr>
        <w:t xml:space="preserve">27.10.2022</w:t>
      </w:r>
      <w:r>
        <w:rPr>
          <w:rFonts w:ascii="PT Astra Serif" w:hAnsi="PT Astra Serif" w:eastAsia="Times New Roman"/>
          <w:sz w:val="24"/>
          <w:szCs w:val="24"/>
        </w:rPr>
        <w:t xml:space="preserve"> № </w:t>
      </w:r>
      <w:r>
        <w:rPr>
          <w:rFonts w:ascii="PT Astra Serif" w:hAnsi="PT Astra Serif" w:eastAsia="Times New Roman"/>
          <w:sz w:val="24"/>
          <w:szCs w:val="24"/>
        </w:rPr>
        <w:t xml:space="preserve">449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«О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прогнозном плане (программе) приватизации</w:t>
      </w:r>
      <w:r>
        <w:rPr>
          <w:rFonts w:ascii="PT Astra Serif" w:hAnsi="PT Astra Serif" w:eastAsia="Times New Roman"/>
          <w:sz w:val="24"/>
          <w:szCs w:val="24"/>
        </w:rPr>
        <w:t xml:space="preserve"> государственного</w:t>
      </w:r>
      <w:r>
        <w:rPr>
          <w:rFonts w:ascii="PT Astra Serif" w:hAnsi="PT Astra Serif" w:eastAsia="Times New Roman"/>
          <w:sz w:val="24"/>
          <w:szCs w:val="24"/>
        </w:rPr>
        <w:t xml:space="preserve"> имущества Томской области на </w:t>
      </w:r>
      <w:r>
        <w:rPr>
          <w:rFonts w:ascii="PT Astra Serif" w:hAnsi="PT Astra Serif" w:eastAsia="Times New Roman"/>
          <w:sz w:val="24"/>
          <w:szCs w:val="24"/>
        </w:rPr>
        <w:t xml:space="preserve">плановый период 202</w:t>
      </w:r>
      <w:r>
        <w:rPr>
          <w:rFonts w:ascii="PT Astra Serif" w:hAnsi="PT Astra Serif" w:eastAsia="Times New Roman"/>
          <w:sz w:val="24"/>
          <w:szCs w:val="24"/>
        </w:rPr>
        <w:t xml:space="preserve">3</w:t>
      </w:r>
      <w:r>
        <w:rPr>
          <w:rFonts w:ascii="PT Astra Serif" w:hAnsi="PT Astra Serif" w:eastAsia="Times New Roman"/>
          <w:sz w:val="24"/>
          <w:szCs w:val="24"/>
        </w:rPr>
        <w:t xml:space="preserve">-</w:t>
      </w:r>
      <w:r>
        <w:rPr>
          <w:rFonts w:ascii="PT Astra Serif" w:hAnsi="PT Astra Serif" w:eastAsia="Times New Roman"/>
          <w:sz w:val="24"/>
          <w:szCs w:val="24"/>
        </w:rPr>
        <w:t xml:space="preserve">202</w:t>
      </w:r>
      <w:r>
        <w:rPr>
          <w:rFonts w:ascii="PT Astra Serif" w:hAnsi="PT Astra Serif" w:eastAsia="Times New Roman"/>
          <w:sz w:val="24"/>
          <w:szCs w:val="24"/>
        </w:rPr>
        <w:t xml:space="preserve">5</w:t>
      </w:r>
      <w:r>
        <w:rPr>
          <w:rFonts w:ascii="PT Astra Serif" w:hAnsi="PT Astra Serif" w:eastAsia="Times New Roman"/>
          <w:sz w:val="24"/>
          <w:szCs w:val="24"/>
        </w:rPr>
        <w:t xml:space="preserve"> годов</w:t>
      </w:r>
      <w:r>
        <w:rPr>
          <w:rFonts w:ascii="PT Astra Serif" w:hAnsi="PT Astra Serif" w:eastAsia="Times New Roman"/>
          <w:sz w:val="24"/>
          <w:szCs w:val="24"/>
        </w:rPr>
        <w:t xml:space="preserve">».</w:t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left="560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регистрации на электронной площадке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ind w:firstLine="567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 xml:space="preserve">Для обеспечения доступа</w:t>
      </w:r>
      <w:r>
        <w:rPr>
          <w:rFonts w:ascii="PT Astra Serif" w:hAnsi="PT Astra Serif" w:eastAsia="Times New Roman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Регистрация на электронной площадке осуществляется без взимания платы.</w:t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Регистрация на электронной площадке проводится в соответствии с Регламентом электронной площадки.</w:t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hAnsi="PT Astra Serif" w:eastAsia="Times New Roman"/>
          <w:sz w:val="24"/>
          <w:szCs w:val="24"/>
        </w:rPr>
        <w:t xml:space="preserve">для оформления участия в электронном аукционе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физические и юридические лица, намеревающиеся принять участие в электронном аукционе (далее – Претенденты), п</w:t>
      </w:r>
      <w:r>
        <w:rPr>
          <w:rFonts w:ascii="PT Astra Serif" w:hAnsi="PT Astra Serif" w:eastAsia="Times New Roman"/>
          <w:sz w:val="24"/>
          <w:szCs w:val="24"/>
        </w:rPr>
        <w:t xml:space="preserve">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с </w:t>
      </w:r>
      <w:r>
        <w:rPr>
          <w:rFonts w:ascii="PT Astra Serif" w:hAnsi="PT Astra Serif" w:eastAsia="Times New Roman"/>
          <w:sz w:val="24"/>
          <w:szCs w:val="24"/>
        </w:rPr>
        <w:t xml:space="preserve">заявкой представляют документы, обязательный перечень которых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указан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в данном информационном сообщении</w:t>
      </w:r>
      <w:r>
        <w:rPr>
          <w:rFonts w:ascii="PT Astra Serif" w:hAnsi="PT Astra Serif" w:eastAsia="Times New Roman"/>
          <w:sz w:val="24"/>
          <w:szCs w:val="24"/>
        </w:rPr>
        <w:t xml:space="preserve">. </w:t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left="560" w:firstLine="149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Одно лицо имеет право подать только одну заявку на участие в электронном аукционе.</w:t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В </w:t>
      </w:r>
      <w:r>
        <w:rPr>
          <w:rFonts w:ascii="PT Astra Serif" w:hAnsi="PT Astra Serif"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r>
        <w:rPr>
          <w:rFonts w:ascii="PT Astra Serif" w:hAnsi="PT Astra Serif" w:eastAsia="Times New Roman"/>
          <w:sz w:val="24"/>
          <w:szCs w:val="24"/>
        </w:rPr>
        <w:t xml:space="preserve">уведомления</w:t>
      </w:r>
      <w:r>
        <w:rPr>
          <w:rFonts w:ascii="PT Astra Serif" w:hAnsi="PT Astra Serif"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tabs>
          <w:tab w:val="left" w:pos="76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В </w:t>
      </w:r>
      <w:r>
        <w:rPr>
          <w:rFonts w:ascii="PT Astra Serif" w:hAnsi="PT Astra Serif" w:eastAsia="Times New Roman"/>
          <w:sz w:val="24"/>
          <w:szCs w:val="24"/>
        </w:rPr>
        <w:t xml:space="preserve"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8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Для участия в аукционе Претенден</w:t>
      </w:r>
      <w:r>
        <w:rPr>
          <w:rFonts w:ascii="PT Astra Serif" w:hAnsi="PT Astra Serif" w:eastAsia="Times New Roman"/>
          <w:sz w:val="24"/>
          <w:szCs w:val="24"/>
        </w:rPr>
        <w:t xml:space="preserve">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</w:t>
      </w:r>
      <w:r>
        <w:rPr>
          <w:rFonts w:ascii="PT Astra Serif" w:hAnsi="PT Astra Serif" w:eastAsia="Times New Roman"/>
          <w:sz w:val="24"/>
          <w:szCs w:val="24"/>
        </w:rPr>
        <w:t xml:space="preserve">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  <w:r>
        <w:rPr>
          <w:rFonts w:ascii="PT Astra Serif" w:hAnsi="PT Astra Serif"/>
          <w:sz w:val="20"/>
          <w:szCs w:val="20"/>
        </w:rPr>
      </w:r>
    </w:p>
    <w:p>
      <w:pPr>
        <w:ind w:firstLine="709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Задаток для участия в про</w:t>
      </w:r>
      <w:r>
        <w:rPr>
          <w:rFonts w:ascii="PT Astra Serif" w:hAnsi="PT Astra Serif" w:eastAsia="Times New Roman"/>
          <w:sz w:val="24"/>
          <w:szCs w:val="24"/>
        </w:rPr>
        <w:t xml:space="preserve">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Задаток возвращается всем участникам продажи, кроме победителя</w:t>
      </w:r>
      <w:r>
        <w:rPr>
          <w:rFonts w:ascii="PT Astra Serif" w:hAnsi="PT Astra Serif" w:eastAsia="Times New Roman"/>
          <w:sz w:val="24"/>
          <w:szCs w:val="24"/>
        </w:rPr>
        <w:t xml:space="preserve"> либо лица, признанного единственным участником аукциона</w:t>
      </w:r>
      <w:r>
        <w:rPr>
          <w:rFonts w:ascii="PT Astra Serif" w:hAnsi="PT Astra Serif" w:eastAsia="Times New Roman"/>
          <w:sz w:val="24"/>
          <w:szCs w:val="24"/>
        </w:rPr>
        <w:t xml:space="preserve">, в течение 5 (пяти) календарных дней </w:t>
      </w:r>
      <w:r>
        <w:rPr>
          <w:rFonts w:ascii="PT Astra Serif" w:hAnsi="PT Astra Serif" w:eastAsia="Times New Roman"/>
          <w:sz w:val="24"/>
          <w:szCs w:val="24"/>
        </w:rPr>
        <w:t xml:space="preserve">с даты подведения</w:t>
      </w:r>
      <w:r>
        <w:rPr>
          <w:rFonts w:ascii="PT Astra Serif" w:hAnsi="PT Astra Serif" w:eastAsia="Times New Roman"/>
          <w:sz w:val="24"/>
          <w:szCs w:val="24"/>
        </w:rPr>
        <w:t xml:space="preserve"> итогов продажи. Задаток, перечисленный победителем продажи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либо лицом, признанным единственным участником аукциона</w:t>
      </w:r>
      <w:r>
        <w:rPr>
          <w:rFonts w:ascii="PT Astra Serif" w:hAnsi="PT Astra Serif" w:eastAsia="Times New Roman"/>
          <w:sz w:val="24"/>
          <w:szCs w:val="24"/>
        </w:rPr>
        <w:t xml:space="preserve">, засчитывается в сумму платежа по договору купли-продажи.</w:t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регламентом электронной площадки.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</w:t>
      </w:r>
      <w:r>
        <w:rPr>
          <w:rFonts w:ascii="PT Astra Serif" w:hAnsi="PT Astra Serif" w:cs="PT Astra Serif"/>
          <w:sz w:val="24"/>
          <w:szCs w:val="24"/>
        </w:rPr>
        <w:t xml:space="preserve">аукциона, от заключения в установленный срок договора купли-продажи имущества задаток ему не возвращается и он утрачивает право на заключение указанного договор</w:t>
      </w:r>
      <w:r>
        <w:rPr>
          <w:rFonts w:ascii="PT Astra Serif" w:hAnsi="PT Astra Serif" w:cs="PT Astra Serif"/>
          <w:sz w:val="24"/>
          <w:szCs w:val="24"/>
        </w:rPr>
        <w:t xml:space="preserve">а</w:t>
      </w:r>
      <w:r>
        <w:rPr>
          <w:rFonts w:ascii="PT Astra Serif" w:hAnsi="PT Astra Serif" w:cs="PT Astra Serif"/>
          <w:sz w:val="24"/>
          <w:szCs w:val="24"/>
        </w:rPr>
        <w:t xml:space="preserve">.</w:t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540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</w:t>
      </w:r>
      <w:r>
        <w:rPr>
          <w:rFonts w:ascii="PT Astra Serif" w:hAnsi="PT Astra Serif" w:eastAsia="Times New Roman"/>
          <w:sz w:val="24"/>
          <w:szCs w:val="24"/>
        </w:rPr>
        <w:t xml:space="preserve">данным информационным сообщением</w:t>
      </w:r>
      <w:r>
        <w:rPr>
          <w:rFonts w:ascii="PT Astra Serif" w:hAnsi="PT Astra Serif" w:eastAsia="Times New Roman"/>
          <w:sz w:val="24"/>
          <w:szCs w:val="24"/>
        </w:rPr>
        <w:t xml:space="preserve">.</w:t>
      </w:r>
      <w:r>
        <w:rPr>
          <w:rFonts w:ascii="PT Astra Serif" w:hAnsi="PT Astra Serif"/>
          <w:sz w:val="20"/>
          <w:szCs w:val="20"/>
        </w:rPr>
      </w:r>
    </w:p>
    <w:p>
      <w:pPr>
        <w:jc w:val="both"/>
        <w:spacing w:line="2" w:lineRule="exac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не допускается к участию в аукционе по следующим основаниям:</w:t>
      </w:r>
      <w:r>
        <w:rPr>
          <w:rFonts w:ascii="PT Astra Serif" w:hAnsi="PT Astra Serif"/>
          <w:sz w:val="20"/>
          <w:szCs w:val="20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22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представленные документы не подтверждают право претендента быть покупателем в соответствии с законодательством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6" w:lineRule="auto"/>
        <w:tabs>
          <w:tab w:val="left" w:pos="85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представлены не все документы в соответствии с перечнем, указанным в информационном сообщении о продаже гос</w:t>
      </w:r>
      <w:r>
        <w:rPr>
          <w:rFonts w:ascii="PT Astra Serif" w:hAnsi="PT Astra Serif" w:eastAsia="Times New Roman"/>
          <w:sz w:val="24"/>
          <w:szCs w:val="24"/>
        </w:rPr>
        <w:t xml:space="preserve">ударственного</w:t>
      </w:r>
      <w:r>
        <w:rPr>
          <w:rFonts w:ascii="PT Astra Serif" w:hAnsi="PT Astra Serif" w:eastAsia="Times New Roman"/>
          <w:sz w:val="24"/>
          <w:szCs w:val="24"/>
        </w:rPr>
        <w:t xml:space="preserve"> имущества, либо оформление указанных документов не соответствует законодательству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3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заявка на участие в аукционе подана лицом, не уполномоченным претендентом на осуществление таких действий;</w:t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jc w:val="both"/>
        <w:spacing w:line="13" w:lineRule="exact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12" w:leader="none"/>
        </w:tabs>
        <w:rPr>
          <w:rFonts w:ascii="PT Astra Serif" w:hAnsi="PT Astra Serif" w:eastAsia="Arial" w:cs="Arial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не подтверждено поступление в установленный срок задатка на счет, указанный в информационном сообщении.</w:t>
      </w:r>
      <w:r>
        <w:rPr>
          <w:rFonts w:ascii="PT Astra Serif" w:hAnsi="PT Astra Serif" w:eastAsia="Arial" w:cs="Arial"/>
          <w:sz w:val="20"/>
          <w:szCs w:val="20"/>
        </w:rPr>
      </w:r>
    </w:p>
    <w:p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hAnsi="PT Astra Serif" w:eastAsia="Times New Roman"/>
          <w:sz w:val="24"/>
          <w:szCs w:val="24"/>
        </w:rPr>
        <w:t xml:space="preserve">в соотве</w:t>
      </w:r>
      <w:r>
        <w:rPr>
          <w:rFonts w:ascii="PT Astra Serif" w:hAnsi="PT Astra Serif" w:eastAsia="Times New Roman"/>
          <w:sz w:val="24"/>
          <w:szCs w:val="24"/>
        </w:rPr>
        <w:t xml:space="preserve">тствии с </w:t>
      </w:r>
      <w:r>
        <w:rPr>
          <w:rFonts w:ascii="PT Astra Serif" w:hAnsi="PT Astra Serif" w:eastAsia="Times New Roman"/>
          <w:sz w:val="24"/>
          <w:szCs w:val="24"/>
        </w:rPr>
        <w:t xml:space="preserve">регламентом</w:t>
      </w:r>
      <w:r>
        <w:rPr>
          <w:rFonts w:ascii="PT Astra Serif" w:hAnsi="PT Astra Serif" w:eastAsia="Times New Roman"/>
          <w:sz w:val="24"/>
          <w:szCs w:val="24"/>
        </w:rPr>
        <w:t xml:space="preserve"> электронно</w:t>
      </w:r>
      <w:r>
        <w:rPr>
          <w:rFonts w:ascii="PT Astra Serif" w:hAnsi="PT Astra Serif" w:eastAsia="Times New Roman"/>
          <w:sz w:val="24"/>
          <w:szCs w:val="24"/>
        </w:rPr>
        <w:t xml:space="preserve">й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площадки</w:t>
      </w:r>
      <w:r>
        <w:rPr>
          <w:rFonts w:ascii="PT Astra Serif" w:hAnsi="PT Astra Serif" w:eastAsia="Times New Roman"/>
          <w:sz w:val="24"/>
          <w:szCs w:val="24"/>
        </w:rPr>
        <w:t xml:space="preserve">.</w:t>
      </w:r>
      <w:r>
        <w:rPr>
          <w:rFonts w:ascii="PT Astra Serif" w:hAnsi="PT Astra Serif"/>
          <w:sz w:val="20"/>
          <w:szCs w:val="20"/>
        </w:rPr>
      </w:r>
    </w:p>
    <w:p>
      <w:pPr>
        <w:ind w:firstLine="540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Ход проведения процедуры аукциона фиксируется электронной площадкой в электронном журнале.</w:t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540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Процедура аукциона считается завершенной со времени подписания организатором аукциона протокола об итогах аукциона.</w:t>
      </w:r>
      <w:r>
        <w:rPr>
          <w:rFonts w:ascii="PT Astra Serif" w:hAnsi="PT Astra Serif" w:eastAsia="Times New Roman"/>
          <w:sz w:val="24"/>
          <w:szCs w:val="24"/>
        </w:rPr>
      </w:r>
    </w:p>
    <w:sectPr>
      <w:footnotePr/>
      <w:endnotePr/>
      <w:type w:val="nextPage"/>
      <w:pgSz w:w="11900" w:h="16838" w:orient="portrait"/>
      <w:pgMar w:top="568" w:right="726" w:bottom="567" w:left="720" w:header="0" w:footer="0" w:gutter="0"/>
      <w:cols w:num="1" w:sep="0"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29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с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и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В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№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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cs="Times New Roman" w:eastAsiaTheme="minorEastAsia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6">
    <w:name w:val="Heading 1"/>
    <w:basedOn w:val="850"/>
    <w:next w:val="850"/>
    <w:link w:val="67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7">
    <w:name w:val="Heading 1 Char"/>
    <w:basedOn w:val="851"/>
    <w:link w:val="676"/>
    <w:uiPriority w:val="9"/>
    <w:rPr>
      <w:rFonts w:ascii="Arial" w:hAnsi="Arial" w:eastAsia="Arial" w:cs="Arial"/>
      <w:sz w:val="40"/>
      <w:szCs w:val="40"/>
    </w:rPr>
  </w:style>
  <w:style w:type="paragraph" w:styleId="678">
    <w:name w:val="Heading 2"/>
    <w:basedOn w:val="850"/>
    <w:next w:val="850"/>
    <w:link w:val="67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9">
    <w:name w:val="Heading 2 Char"/>
    <w:basedOn w:val="851"/>
    <w:link w:val="678"/>
    <w:uiPriority w:val="9"/>
    <w:rPr>
      <w:rFonts w:ascii="Arial" w:hAnsi="Arial" w:eastAsia="Arial" w:cs="Arial"/>
      <w:sz w:val="34"/>
    </w:rPr>
  </w:style>
  <w:style w:type="paragraph" w:styleId="680">
    <w:name w:val="Heading 3"/>
    <w:basedOn w:val="850"/>
    <w:next w:val="850"/>
    <w:link w:val="68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81">
    <w:name w:val="Heading 3 Char"/>
    <w:basedOn w:val="851"/>
    <w:link w:val="680"/>
    <w:uiPriority w:val="9"/>
    <w:rPr>
      <w:rFonts w:ascii="Arial" w:hAnsi="Arial" w:eastAsia="Arial" w:cs="Arial"/>
      <w:sz w:val="30"/>
      <w:szCs w:val="30"/>
    </w:rPr>
  </w:style>
  <w:style w:type="paragraph" w:styleId="682">
    <w:name w:val="Heading 4"/>
    <w:basedOn w:val="850"/>
    <w:next w:val="850"/>
    <w:link w:val="68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3">
    <w:name w:val="Heading 4 Char"/>
    <w:basedOn w:val="851"/>
    <w:link w:val="682"/>
    <w:uiPriority w:val="9"/>
    <w:rPr>
      <w:rFonts w:ascii="Arial" w:hAnsi="Arial" w:eastAsia="Arial" w:cs="Arial"/>
      <w:b/>
      <w:bCs/>
      <w:sz w:val="26"/>
      <w:szCs w:val="26"/>
    </w:rPr>
  </w:style>
  <w:style w:type="paragraph" w:styleId="684">
    <w:name w:val="Heading 5"/>
    <w:basedOn w:val="850"/>
    <w:next w:val="850"/>
    <w:link w:val="68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5">
    <w:name w:val="Heading 5 Char"/>
    <w:basedOn w:val="851"/>
    <w:link w:val="684"/>
    <w:uiPriority w:val="9"/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850"/>
    <w:next w:val="850"/>
    <w:link w:val="68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7">
    <w:name w:val="Heading 6 Char"/>
    <w:basedOn w:val="851"/>
    <w:link w:val="686"/>
    <w:uiPriority w:val="9"/>
    <w:rPr>
      <w:rFonts w:ascii="Arial" w:hAnsi="Arial" w:eastAsia="Arial" w:cs="Arial"/>
      <w:b/>
      <w:bCs/>
      <w:sz w:val="22"/>
      <w:szCs w:val="22"/>
    </w:rPr>
  </w:style>
  <w:style w:type="paragraph" w:styleId="688">
    <w:name w:val="Heading 7"/>
    <w:basedOn w:val="850"/>
    <w:next w:val="850"/>
    <w:link w:val="68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9">
    <w:name w:val="Heading 7 Char"/>
    <w:basedOn w:val="851"/>
    <w:link w:val="68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0">
    <w:name w:val="Heading 8"/>
    <w:basedOn w:val="850"/>
    <w:next w:val="850"/>
    <w:link w:val="69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1">
    <w:name w:val="Heading 8 Char"/>
    <w:basedOn w:val="851"/>
    <w:link w:val="690"/>
    <w:uiPriority w:val="9"/>
    <w:rPr>
      <w:rFonts w:ascii="Arial" w:hAnsi="Arial" w:eastAsia="Arial" w:cs="Arial"/>
      <w:i/>
      <w:iCs/>
      <w:sz w:val="22"/>
      <w:szCs w:val="22"/>
    </w:rPr>
  </w:style>
  <w:style w:type="paragraph" w:styleId="692">
    <w:name w:val="Heading 9"/>
    <w:basedOn w:val="850"/>
    <w:next w:val="850"/>
    <w:link w:val="69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3">
    <w:name w:val="Heading 9 Char"/>
    <w:basedOn w:val="851"/>
    <w:link w:val="692"/>
    <w:uiPriority w:val="9"/>
    <w:rPr>
      <w:rFonts w:ascii="Arial" w:hAnsi="Arial" w:eastAsia="Arial" w:cs="Arial"/>
      <w:i/>
      <w:iCs/>
      <w:sz w:val="21"/>
      <w:szCs w:val="21"/>
    </w:rPr>
  </w:style>
  <w:style w:type="paragraph" w:styleId="694">
    <w:name w:val="No Spacing"/>
    <w:uiPriority w:val="1"/>
    <w:qFormat/>
    <w:pPr>
      <w:spacing w:before="0" w:after="0" w:line="240" w:lineRule="auto"/>
    </w:pPr>
  </w:style>
  <w:style w:type="paragraph" w:styleId="695">
    <w:name w:val="Title"/>
    <w:basedOn w:val="850"/>
    <w:next w:val="850"/>
    <w:link w:val="69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6">
    <w:name w:val="Title Char"/>
    <w:basedOn w:val="851"/>
    <w:link w:val="695"/>
    <w:uiPriority w:val="10"/>
    <w:rPr>
      <w:sz w:val="48"/>
      <w:szCs w:val="48"/>
    </w:rPr>
  </w:style>
  <w:style w:type="paragraph" w:styleId="697">
    <w:name w:val="Subtitle"/>
    <w:basedOn w:val="850"/>
    <w:next w:val="850"/>
    <w:link w:val="698"/>
    <w:uiPriority w:val="11"/>
    <w:qFormat/>
    <w:pPr>
      <w:spacing w:before="200" w:after="200"/>
    </w:pPr>
    <w:rPr>
      <w:sz w:val="24"/>
      <w:szCs w:val="24"/>
    </w:rPr>
  </w:style>
  <w:style w:type="character" w:styleId="698">
    <w:name w:val="Subtitle Char"/>
    <w:basedOn w:val="851"/>
    <w:link w:val="697"/>
    <w:uiPriority w:val="11"/>
    <w:rPr>
      <w:sz w:val="24"/>
      <w:szCs w:val="24"/>
    </w:rPr>
  </w:style>
  <w:style w:type="paragraph" w:styleId="699">
    <w:name w:val="Quote"/>
    <w:basedOn w:val="850"/>
    <w:next w:val="850"/>
    <w:link w:val="700"/>
    <w:uiPriority w:val="29"/>
    <w:qFormat/>
    <w:pPr>
      <w:ind w:left="720" w:right="720"/>
    </w:pPr>
    <w:rPr>
      <w:i/>
    </w:rPr>
  </w:style>
  <w:style w:type="character" w:styleId="700">
    <w:name w:val="Quote Char"/>
    <w:link w:val="699"/>
    <w:uiPriority w:val="29"/>
    <w:rPr>
      <w:i/>
    </w:rPr>
  </w:style>
  <w:style w:type="paragraph" w:styleId="701">
    <w:name w:val="Intense Quote"/>
    <w:basedOn w:val="850"/>
    <w:next w:val="850"/>
    <w:link w:val="70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2">
    <w:name w:val="Intense Quote Char"/>
    <w:link w:val="701"/>
    <w:uiPriority w:val="30"/>
    <w:rPr>
      <w:i/>
    </w:rPr>
  </w:style>
  <w:style w:type="character" w:styleId="703">
    <w:name w:val="Header Char"/>
    <w:basedOn w:val="851"/>
    <w:link w:val="855"/>
    <w:uiPriority w:val="99"/>
  </w:style>
  <w:style w:type="paragraph" w:styleId="704">
    <w:name w:val="Footer"/>
    <w:basedOn w:val="850"/>
    <w:link w:val="70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5">
    <w:name w:val="Footer Char"/>
    <w:basedOn w:val="851"/>
    <w:link w:val="704"/>
    <w:uiPriority w:val="99"/>
  </w:style>
  <w:style w:type="paragraph" w:styleId="706">
    <w:name w:val="Caption"/>
    <w:basedOn w:val="850"/>
    <w:next w:val="85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7">
    <w:name w:val="Caption Char"/>
    <w:basedOn w:val="706"/>
    <w:link w:val="704"/>
    <w:uiPriority w:val="99"/>
  </w:style>
  <w:style w:type="table" w:styleId="708">
    <w:name w:val="Table Grid Light"/>
    <w:basedOn w:val="85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9">
    <w:name w:val="Plain Table 1"/>
    <w:basedOn w:val="85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0">
    <w:name w:val="Plain Table 2"/>
    <w:basedOn w:val="85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1">
    <w:name w:val="Plain Table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2">
    <w:name w:val="Plain Table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Plain Table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4">
    <w:name w:val="Grid Table 1 Light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4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6">
    <w:name w:val="Grid Table 4 - Accent 1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7">
    <w:name w:val="Grid Table 4 - Accent 2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8">
    <w:name w:val="Grid Table 4 - Accent 3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9">
    <w:name w:val="Grid Table 4 - Accent 4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0">
    <w:name w:val="Grid Table 4 - Accent 5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1">
    <w:name w:val="Grid Table 4 - Accent 6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2">
    <w:name w:val="Grid Table 5 Dark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3">
    <w:name w:val="Grid Table 5 Dark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6">
    <w:name w:val="Grid Table 5 Dark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7">
    <w:name w:val="Grid Table 5 Dark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8">
    <w:name w:val="Grid Table 5 Dark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9">
    <w:name w:val="Grid Table 6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0">
    <w:name w:val="Grid Table 6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1">
    <w:name w:val="Grid Table 6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2">
    <w:name w:val="Grid Table 6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3">
    <w:name w:val="Grid Table 6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4">
    <w:name w:val="Grid Table 6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5">
    <w:name w:val="Grid Table 6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6">
    <w:name w:val="Grid Table 7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1">
    <w:name w:val="List Table 2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2">
    <w:name w:val="List Table 2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3">
    <w:name w:val="List Table 2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4">
    <w:name w:val="List Table 2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5">
    <w:name w:val="List Table 2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6">
    <w:name w:val="List Table 2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7">
    <w:name w:val="List Table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5 Dark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5 Dark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5 Dark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8">
    <w:name w:val="List Table 6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9">
    <w:name w:val="List Table 6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0">
    <w:name w:val="List Table 6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1">
    <w:name w:val="List Table 6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2">
    <w:name w:val="List Table 6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3">
    <w:name w:val="List Table 6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4">
    <w:name w:val="List Table 6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5">
    <w:name w:val="List Table 7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6">
    <w:name w:val="List Table 7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7">
    <w:name w:val="List Table 7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8">
    <w:name w:val="List Table 7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9">
    <w:name w:val="List Table 7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0">
    <w:name w:val="List Table 7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1">
    <w:name w:val="List Table 7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2">
    <w:name w:val="Lined - Accent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3">
    <w:name w:val="Lined - Accent 1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4">
    <w:name w:val="Lined - Accent 2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5">
    <w:name w:val="Lined - Accent 3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6">
    <w:name w:val="Lined - Accent 4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7">
    <w:name w:val="Lined - Accent 5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8">
    <w:name w:val="Lined - Accent 6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9">
    <w:name w:val="Bordered &amp; Lined - Accent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0">
    <w:name w:val="Bordered &amp; Lined - Accent 1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1">
    <w:name w:val="Bordered &amp; Lined - Accent 2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2">
    <w:name w:val="Bordered &amp; Lined - Accent 3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3">
    <w:name w:val="Bordered &amp; Lined - Accent 4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4">
    <w:name w:val="Bordered &amp; Lined - Accent 5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5">
    <w:name w:val="Bordered &amp; Lined - Accent 6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6">
    <w:name w:val="Bordered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7">
    <w:name w:val="Bordered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8">
    <w:name w:val="Bordered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9">
    <w:name w:val="Bordered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0">
    <w:name w:val="Bordered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1">
    <w:name w:val="Bordered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2">
    <w:name w:val="Bordered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3">
    <w:name w:val="footnote text"/>
    <w:basedOn w:val="850"/>
    <w:link w:val="834"/>
    <w:uiPriority w:val="99"/>
    <w:semiHidden/>
    <w:unhideWhenUsed/>
    <w:pPr>
      <w:spacing w:after="40" w:line="240" w:lineRule="auto"/>
    </w:pPr>
    <w:rPr>
      <w:sz w:val="18"/>
    </w:rPr>
  </w:style>
  <w:style w:type="character" w:styleId="834">
    <w:name w:val="Footnote Text Char"/>
    <w:link w:val="833"/>
    <w:uiPriority w:val="99"/>
    <w:rPr>
      <w:sz w:val="18"/>
    </w:rPr>
  </w:style>
  <w:style w:type="character" w:styleId="835">
    <w:name w:val="footnote reference"/>
    <w:basedOn w:val="851"/>
    <w:uiPriority w:val="99"/>
    <w:unhideWhenUsed/>
    <w:rPr>
      <w:vertAlign w:val="superscript"/>
    </w:rPr>
  </w:style>
  <w:style w:type="paragraph" w:styleId="836">
    <w:name w:val="endnote text"/>
    <w:basedOn w:val="850"/>
    <w:link w:val="837"/>
    <w:uiPriority w:val="99"/>
    <w:semiHidden/>
    <w:unhideWhenUsed/>
    <w:pPr>
      <w:spacing w:after="0" w:line="240" w:lineRule="auto"/>
    </w:pPr>
    <w:rPr>
      <w:sz w:val="20"/>
    </w:rPr>
  </w:style>
  <w:style w:type="character" w:styleId="837">
    <w:name w:val="Endnote Text Char"/>
    <w:link w:val="836"/>
    <w:uiPriority w:val="99"/>
    <w:rPr>
      <w:sz w:val="20"/>
    </w:rPr>
  </w:style>
  <w:style w:type="character" w:styleId="838">
    <w:name w:val="endnote reference"/>
    <w:basedOn w:val="851"/>
    <w:uiPriority w:val="99"/>
    <w:semiHidden/>
    <w:unhideWhenUsed/>
    <w:rPr>
      <w:vertAlign w:val="superscript"/>
    </w:rPr>
  </w:style>
  <w:style w:type="paragraph" w:styleId="839">
    <w:name w:val="toc 1"/>
    <w:basedOn w:val="850"/>
    <w:next w:val="850"/>
    <w:uiPriority w:val="39"/>
    <w:unhideWhenUsed/>
    <w:pPr>
      <w:ind w:left="0" w:right="0" w:firstLine="0"/>
      <w:spacing w:after="57"/>
    </w:pPr>
  </w:style>
  <w:style w:type="paragraph" w:styleId="840">
    <w:name w:val="toc 2"/>
    <w:basedOn w:val="850"/>
    <w:next w:val="850"/>
    <w:uiPriority w:val="39"/>
    <w:unhideWhenUsed/>
    <w:pPr>
      <w:ind w:left="283" w:right="0" w:firstLine="0"/>
      <w:spacing w:after="57"/>
    </w:pPr>
  </w:style>
  <w:style w:type="paragraph" w:styleId="841">
    <w:name w:val="toc 3"/>
    <w:basedOn w:val="850"/>
    <w:next w:val="850"/>
    <w:uiPriority w:val="39"/>
    <w:unhideWhenUsed/>
    <w:pPr>
      <w:ind w:left="567" w:right="0" w:firstLine="0"/>
      <w:spacing w:after="57"/>
    </w:pPr>
  </w:style>
  <w:style w:type="paragraph" w:styleId="842">
    <w:name w:val="toc 4"/>
    <w:basedOn w:val="850"/>
    <w:next w:val="850"/>
    <w:uiPriority w:val="39"/>
    <w:unhideWhenUsed/>
    <w:pPr>
      <w:ind w:left="850" w:right="0" w:firstLine="0"/>
      <w:spacing w:after="57"/>
    </w:pPr>
  </w:style>
  <w:style w:type="paragraph" w:styleId="843">
    <w:name w:val="toc 5"/>
    <w:basedOn w:val="850"/>
    <w:next w:val="850"/>
    <w:uiPriority w:val="39"/>
    <w:unhideWhenUsed/>
    <w:pPr>
      <w:ind w:left="1134" w:right="0" w:firstLine="0"/>
      <w:spacing w:after="57"/>
    </w:pPr>
  </w:style>
  <w:style w:type="paragraph" w:styleId="844">
    <w:name w:val="toc 6"/>
    <w:basedOn w:val="850"/>
    <w:next w:val="850"/>
    <w:uiPriority w:val="39"/>
    <w:unhideWhenUsed/>
    <w:pPr>
      <w:ind w:left="1417" w:right="0" w:firstLine="0"/>
      <w:spacing w:after="57"/>
    </w:pPr>
  </w:style>
  <w:style w:type="paragraph" w:styleId="845">
    <w:name w:val="toc 7"/>
    <w:basedOn w:val="850"/>
    <w:next w:val="850"/>
    <w:uiPriority w:val="39"/>
    <w:unhideWhenUsed/>
    <w:pPr>
      <w:ind w:left="1701" w:right="0" w:firstLine="0"/>
      <w:spacing w:after="57"/>
    </w:pPr>
  </w:style>
  <w:style w:type="paragraph" w:styleId="846">
    <w:name w:val="toc 8"/>
    <w:basedOn w:val="850"/>
    <w:next w:val="850"/>
    <w:uiPriority w:val="39"/>
    <w:unhideWhenUsed/>
    <w:pPr>
      <w:ind w:left="1984" w:right="0" w:firstLine="0"/>
      <w:spacing w:after="57"/>
    </w:pPr>
  </w:style>
  <w:style w:type="paragraph" w:styleId="847">
    <w:name w:val="toc 9"/>
    <w:basedOn w:val="850"/>
    <w:next w:val="850"/>
    <w:uiPriority w:val="39"/>
    <w:unhideWhenUsed/>
    <w:pPr>
      <w:ind w:left="2268" w:right="0" w:firstLine="0"/>
      <w:spacing w:after="57"/>
    </w:pPr>
  </w:style>
  <w:style w:type="paragraph" w:styleId="848">
    <w:name w:val="TOC Heading"/>
    <w:uiPriority w:val="39"/>
    <w:unhideWhenUsed/>
  </w:style>
  <w:style w:type="paragraph" w:styleId="849">
    <w:name w:val="table of figures"/>
    <w:basedOn w:val="850"/>
    <w:next w:val="850"/>
    <w:uiPriority w:val="99"/>
    <w:unhideWhenUsed/>
    <w:pPr>
      <w:spacing w:after="0" w:afterAutospacing="0"/>
    </w:pPr>
  </w:style>
  <w:style w:type="paragraph" w:styleId="850" w:default="1">
    <w:name w:val="Normal"/>
    <w:qFormat/>
  </w:style>
  <w:style w:type="character" w:styleId="851" w:default="1">
    <w:name w:val="Default Paragraph Font"/>
    <w:uiPriority w:val="1"/>
    <w:semiHidden/>
    <w:unhideWhenUsed/>
  </w:style>
  <w:style w:type="table" w:styleId="85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3" w:default="1">
    <w:name w:val="No List"/>
    <w:uiPriority w:val="99"/>
    <w:semiHidden/>
    <w:unhideWhenUsed/>
  </w:style>
  <w:style w:type="character" w:styleId="854">
    <w:name w:val="Hyperlink"/>
    <w:basedOn w:val="851"/>
    <w:uiPriority w:val="99"/>
    <w:unhideWhenUsed/>
    <w:rPr>
      <w:color w:val="0000ff"/>
      <w:u w:val="single"/>
    </w:rPr>
  </w:style>
  <w:style w:type="paragraph" w:styleId="855">
    <w:name w:val="Header"/>
    <w:basedOn w:val="850"/>
    <w:link w:val="856"/>
    <w:pPr>
      <w:tabs>
        <w:tab w:val="center" w:pos="4153" w:leader="none"/>
        <w:tab w:val="right" w:pos="8306" w:leader="none"/>
      </w:tabs>
    </w:pPr>
    <w:rPr>
      <w:rFonts w:eastAsia="Times New Roman"/>
      <w:sz w:val="24"/>
      <w:szCs w:val="24"/>
    </w:rPr>
  </w:style>
  <w:style w:type="character" w:styleId="856" w:customStyle="1">
    <w:name w:val="Верхний колонтитул Знак"/>
    <w:basedOn w:val="851"/>
    <w:link w:val="855"/>
    <w:rPr>
      <w:rFonts w:eastAsia="Times New Roman"/>
      <w:sz w:val="24"/>
      <w:szCs w:val="24"/>
    </w:rPr>
  </w:style>
  <w:style w:type="paragraph" w:styleId="857" w:customStyle="1">
    <w:name w:val="ФИО"/>
    <w:basedOn w:val="850"/>
    <w:link w:val="858"/>
    <w:rPr>
      <w:rFonts w:eastAsia="Times New Roman"/>
      <w:b/>
      <w:sz w:val="24"/>
      <w:szCs w:val="24"/>
    </w:rPr>
  </w:style>
  <w:style w:type="character" w:styleId="858" w:customStyle="1">
    <w:name w:val="ФИО Знак"/>
    <w:link w:val="857"/>
    <w:rPr>
      <w:rFonts w:eastAsia="Times New Roman"/>
      <w:b/>
      <w:sz w:val="24"/>
      <w:szCs w:val="24"/>
    </w:rPr>
  </w:style>
  <w:style w:type="paragraph" w:styleId="859">
    <w:name w:val="Balloon Text"/>
    <w:basedOn w:val="850"/>
    <w:link w:val="860"/>
    <w:uiPriority w:val="99"/>
    <w:semiHidden/>
    <w:unhideWhenUsed/>
    <w:rPr>
      <w:rFonts w:ascii="Tahoma" w:hAnsi="Tahoma" w:cs="Tahoma"/>
      <w:sz w:val="16"/>
      <w:szCs w:val="16"/>
    </w:rPr>
  </w:style>
  <w:style w:type="character" w:styleId="860" w:customStyle="1">
    <w:name w:val="Текст выноски Знак"/>
    <w:basedOn w:val="851"/>
    <w:link w:val="859"/>
    <w:uiPriority w:val="99"/>
    <w:semiHidden/>
    <w:rPr>
      <w:rFonts w:ascii="Tahoma" w:hAnsi="Tahoma" w:cs="Tahoma"/>
      <w:sz w:val="16"/>
      <w:szCs w:val="16"/>
    </w:rPr>
  </w:style>
  <w:style w:type="paragraph" w:styleId="861">
    <w:name w:val="List Paragraph"/>
    <w:basedOn w:val="850"/>
    <w:uiPriority w:val="34"/>
    <w:qFormat/>
    <w:pPr>
      <w:contextualSpacing/>
      <w:ind w:left="720"/>
    </w:pPr>
  </w:style>
  <w:style w:type="table" w:styleId="862">
    <w:name w:val="Table Grid"/>
    <w:basedOn w:val="852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3" w:customStyle="1">
    <w:name w:val="Default"/>
    <w:rPr>
      <w:color w:val="000000"/>
      <w:sz w:val="24"/>
      <w:szCs w:val="24"/>
    </w:rPr>
  </w:style>
  <w:style w:type="paragraph" w:styleId="864">
    <w:name w:val="Body Text"/>
    <w:basedOn w:val="850"/>
    <w:link w:val="865"/>
    <w:rPr>
      <w:rFonts w:eastAsia="Times New Roman"/>
      <w:bCs/>
      <w:sz w:val="32"/>
      <w:szCs w:val="24"/>
    </w:rPr>
  </w:style>
  <w:style w:type="character" w:styleId="865" w:customStyle="1">
    <w:name w:val="Основной текст Знак"/>
    <w:basedOn w:val="851"/>
    <w:link w:val="864"/>
    <w:rPr>
      <w:rFonts w:eastAsia="Times New Roman"/>
      <w:bCs/>
      <w:sz w:val="32"/>
      <w:szCs w:val="24"/>
    </w:rPr>
  </w:style>
  <w:style w:type="character" w:styleId="866">
    <w:name w:val="FollowedHyperlink"/>
    <w:basedOn w:val="851"/>
    <w:uiPriority w:val="99"/>
    <w:semiHidden/>
    <w:unhideWhenUsed/>
    <w:rPr>
      <w:color w:val="800080" w:themeColor="followed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https://torgi.gov.ru/new/private/notice/view/651412c2633204236f14838b" TargetMode="External"/><Relationship Id="rId11" Type="http://schemas.openxmlformats.org/officeDocument/2006/relationships/hyperlink" Target="mailto:dugsto@gov70.ru" TargetMode="External"/><Relationship Id="rId12" Type="http://schemas.openxmlformats.org/officeDocument/2006/relationships/hyperlink" Target="mailto:fai@gki.tomsk.ru" TargetMode="External"/><Relationship Id="rId13" Type="http://schemas.openxmlformats.org/officeDocument/2006/relationships/hyperlink" Target="https://www.torgi.gov.&#1075;u" TargetMode="External"/><Relationship Id="rId14" Type="http://schemas.openxmlformats.org/officeDocument/2006/relationships/hyperlink" Target="https://dugs.tomsk.gov.ru/privatizatsija-prodazha-gosudarstvennogo-imuschestva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58D0EA-C6A4-45A8-B373-05F8C24A7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revision>88</cp:revision>
  <dcterms:created xsi:type="dcterms:W3CDTF">2020-10-14T03:11:00Z</dcterms:created>
  <dcterms:modified xsi:type="dcterms:W3CDTF">2023-09-27T11:35:53Z</dcterms:modified>
</cp:coreProperties>
</file>