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проведении открытого аукциона в электронной форме по продаже государственного имущества Томской области</w:t>
      </w:r>
      <w:r>
        <w:rPr>
          <w:rFonts w:ascii="PT Astra Serif" w:hAnsi="PT Astra Serif" w:eastAsia="Times New Roman"/>
          <w:b/>
          <w:bCs/>
          <w:sz w:val="23"/>
          <w:szCs w:val="23"/>
        </w:rPr>
      </w:r>
      <w:r>
        <w:rPr>
          <w:rFonts w:ascii="PT Astra Serif" w:hAnsi="PT Astra Serif" w:eastAsia="Times New Roman"/>
          <w:b/>
          <w:bCs/>
          <w:sz w:val="23"/>
          <w:szCs w:val="23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ind w:left="120" w:right="-178"/>
        <w:jc w:val="both"/>
        <w:spacing w:line="237" w:lineRule="auto"/>
        <w:rPr>
          <w:rFonts w:ascii="PT Astra Serif" w:hAnsi="PT Astra Serif" w:eastAsia="Times New Roman"/>
          <w:color w:val="000000"/>
          <w:sz w:val="24"/>
          <w:szCs w:val="24"/>
          <w:highlight w:val="none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>
        <w:rPr>
          <w:rFonts w:ascii="PT Astra Serif" w:hAnsi="PT Astra Serif"/>
          <w:sz w:val="20"/>
          <w:szCs w:val="20"/>
        </w:rPr>
      </w:r>
    </w:p>
    <w:p>
      <w:pPr>
        <w:ind w:left="120" w:right="-178"/>
        <w:jc w:val="both"/>
        <w:spacing w:line="237" w:lineRule="auto"/>
        <w:rPr>
          <w:rFonts w:ascii="PT Astra Serif" w:hAnsi="PT Astra Serif" w:eastAsia="Times New Roman"/>
          <w:color w:val="000000"/>
          <w:sz w:val="10"/>
          <w:szCs w:val="10"/>
        </w:rPr>
      </w:pPr>
      <w:r>
        <w:rPr>
          <w:rFonts w:ascii="PT Astra Serif" w:hAnsi="PT Astra Serif" w:eastAsia="Times New Roman"/>
          <w:bCs/>
          <w:color w:val="000000"/>
          <w:sz w:val="10"/>
          <w:szCs w:val="10"/>
          <w:highlight w:val="none"/>
        </w:rPr>
      </w:r>
      <w:r>
        <w:rPr>
          <w:rFonts w:ascii="PT Astra Serif" w:hAnsi="PT Astra Serif" w:eastAsia="Times New Roman"/>
          <w:color w:val="000000"/>
          <w:sz w:val="10"/>
          <w:szCs w:val="10"/>
        </w:rPr>
      </w:r>
    </w:p>
    <w:p>
      <w:pPr>
        <w:ind w:left="120" w:right="-178"/>
        <w:jc w:val="both"/>
        <w:spacing w:line="237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eastAsia="Times New Roman"/>
          <w:bCs/>
          <w:color w:val="000000"/>
          <w:sz w:val="24"/>
          <w:szCs w:val="24"/>
        </w:rPr>
      </w:r>
      <w:r>
        <w:rPr>
          <w:rFonts w:ascii="PT Astra Serif" w:hAnsi="PT Astra Serif"/>
          <w:b/>
          <w:bCs/>
          <w:sz w:val="21"/>
          <w:szCs w:val="21"/>
          <w:shd w:val="clear" w:color="auto" w:fill="ffffff"/>
        </w:rPr>
        <w:t xml:space="preserve">Номер процедуры на сайте РТС-Тендер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: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</w:rPr>
        <w:t xml:space="preserve">№ 21000022460000000040</w:t>
      </w:r>
      <w:r>
        <w:rPr>
          <w:rFonts w:ascii="PT Astra Serif" w:hAnsi="PT Astra Serif"/>
          <w:sz w:val="24"/>
          <w:szCs w:val="24"/>
        </w:rPr>
      </w:r>
      <w:r>
        <w:rPr>
          <w:sz w:val="24"/>
          <w:szCs w:val="24"/>
        </w:rPr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shd w:val="clear" w:color="auto" w:fill="ffffff"/>
        </w:rPr>
      </w:r>
      <w:r/>
      <w:r>
        <w:rPr>
          <w:rFonts w:ascii="PT Astra Serif" w:hAnsi="PT Astra Serif"/>
          <w:sz w:val="24"/>
          <w:szCs w:val="24"/>
        </w:rPr>
      </w:r>
    </w:p>
    <w:p>
      <w:pPr>
        <w:spacing w:line="334" w:lineRule="exact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tbl>
      <w:tblPr>
        <w:tblStyle w:val="878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Администрация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hAnsi="PT Astra Serif" w:eastAsia="Times New Roman"/>
                <w:b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8 сентября 2023 года № 582-ра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«Об условиях приватизации государственного имущества Томской области»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10" w:tooltip="mailto:dugsto@gov70.ru" w:history="1">
              <w:r>
                <w:rPr>
                  <w:rStyle w:val="870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dugsto@gov70.ru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hyperlink r:id="rId11" w:tooltip="mailto:fai@gki.tomsk.ru" w:history="1">
              <w:r>
                <w:rPr>
                  <w:rStyle w:val="870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70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Style w:val="870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gki</w:t>
              </w:r>
              <w:r>
                <w:rPr>
                  <w:rStyle w:val="870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.</w:t>
              </w:r>
              <w:r>
                <w:rPr>
                  <w:rStyle w:val="870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tomsk</w:t>
              </w:r>
              <w:r>
                <w:rPr>
                  <w:rStyle w:val="870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.</w:t>
              </w:r>
              <w:r>
                <w:rPr>
                  <w:rStyle w:val="870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 shoi@gki.tomsk.ru,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clv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@gki.tomsk.ru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площадка ООО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(www.rts-tender.ru)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набережная Тараса Шевченко, д.23А,</w:t>
            </w:r>
            <w:r>
              <w:rPr>
                <w:rFonts w:ascii="PT Astra Serif" w:hAnsi="PT Astra Serif"/>
              </w:rPr>
              <w:t xml:space="preserve"> контактные телефоны: 8 (499) 653-77-00,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 почты: iSupport@rts-tender.ru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70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пр.Фрунзе, д. 20, офис 308, телефон: +7 (3822) 98-41-99, адрес электронной почты: a.polyakov@rts-tender.ru, a.malyshev@rts-tender.ru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Здание, назначение: нежилое площадью 80,2 кв. м с кадастровым номером 70:06:01010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03:2111 по адресу: Российская Федерация, Томская область, Каргасокский район, с. Каргасок, ул. Кирова, д. 103 с земельным участком, занимаемым объектом недвижимости, категория земель: земли населенных пунктов, виды разрешенного использования: для эксплуата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ции здания, площадь 1373 кв. м, кадастровый номер 70:06:0101003:93, местоположение: местоположение установлено относительно ориентира, расположенного в границах участка. Почтовый адрес ориентира: Томская обл., р-н Каргасокский, с. Каргасок, ул. Кирова, 103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(далее - имущество).</w:t>
            </w: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Аукцион в электронной форме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692 548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(шестьсот девяносто две тысячи пятьсот сорок восемь) рублей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 учетом налога на добавленную стоимость (далее – НДС)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цене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 торгах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 № 03100643000000016500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pStyle w:val="88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40102810245370000058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задатка: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69 254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(шестьдесят девять тысяч двести пятьдесят четыре) рубля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80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копеек (10% начальной цены)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должен поступить не позднее 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03.12.2023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Получатель ООО «РТС-тендер»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Филиал «Корпоративный» ПАО «Совкомбанк»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40702810512030016362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 ИНН 7710357167, КПП 773001001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№ аналитического счета _________, без НДС.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Документом, подтверждающим поступление задатка на счет,  является выписка с этого счета.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повышения начальной цены  («шаг аукциона»)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34 627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</w:rPr>
              <w:t xml:space="preserve">тридцать четыре тысячи шестьсот двадцать семь) рублей </w:t>
            </w:r>
            <w:r>
              <w:rPr>
                <w:rFonts w:ascii="PT Astra Serif" w:hAnsi="PT Astra Serif"/>
                <w:b/>
                <w:bCs/>
                <w:sz w:val="24"/>
              </w:rPr>
              <w:t xml:space="preserve">40</w:t>
            </w:r>
            <w:r>
              <w:rPr>
                <w:rFonts w:ascii="PT Astra Serif" w:hAnsi="PT Astra Serif"/>
                <w:sz w:val="24"/>
              </w:rPr>
              <w:t xml:space="preserve"> копеек (5% начальной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электронная торговая площадка ООО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www.rts-tender.ru.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Одно лицо имеет право подать только одну заявку.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Дата начала подачи заявок: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3 ноября 2023 года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09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часов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Дата окончания подачи зая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вок:</w:t>
            </w:r>
            <w:r>
              <w:rPr>
                <w:rFonts w:ascii="PT Astra Serif" w:hAnsi="PT Astra Serif" w:eastAsia="Times New Roman"/>
                <w:b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3 декабря 2023 года,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 18 часов 00 минут по томскому времени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перечень представляемых участниками торгов документов и требования к их оформлению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пяти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 даты подведения итогов аукциона.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12.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13, 14, номера телефонов: (3822)  551-712, 551-711, 551-703.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содержится в документации об аукционе.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870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870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13.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ыгодоприобретатель» и «бенефициарный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случае,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14.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День определения участников 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4 декабря 2023 года</w:t>
            </w:r>
            <w:r>
              <w:rPr>
                <w:rFonts w:ascii="PT Astra Serif" w:hAnsi="PT Astra Serif" w:eastAsia="Times New Roman"/>
                <w:color w:val="auto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Продавец рассматривает заявки и документы пре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победителя аукциона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заявляются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отказа лица, признанного единственным участником аукциона, от заключения договора аукцион признается несостоявшимся.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продажи государственного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подведения итогов: электронная торговая площадка ООО «РТС – тендер»  www.rts-tender.ru.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подведения итогов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: 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5 декабря 2023 года</w:t>
            </w:r>
            <w:r>
              <w:rPr>
                <w:rFonts w:ascii="PT Astra Serif" w:hAnsi="PT Astra Serif" w:eastAsia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продаже государственного имущества, назначенные на 12.07.2022, 22.11.2022, 02.02.2023, 26.10.2023 не состоялись по причине отсутствия заявок.</w:t>
            </w: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ведения об установлении публичного сервитута и (или) иных ограничений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отношении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земельного участка ус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тановлены ограничения прав, предусмотренные статьей 56 Земельного кодекса Российской Федерации. Срок действия ограничения прав не установлен. Реквизиты документа-основания установления ограничения прав: доверенность от 08.11.2018 № 138, выданная Публичным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акционерным обществом «Томская распределительная компания».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держание ограничения (обременения):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ограничения использования объектов недвижимости в границах охранной зоны воздушной линии электропередач установлены в соответствии с пунктами 8-15 Правил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установления охранных зон объектов электросетевого хозяйства и особых условий использования земельных участков, расположенных в граница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х таких зон, утвержденных постановлением Правительства Российской Федерации от 24.02.2009 № 160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Реестровый номер границы: 70:06-6.334. Вид объекта реестра границ: зона с особыми условиями использования территории. Вид зоны по документу: охранная зона ВЛ-10кВ КР-1017. Тип зоны: охранная зона инженерных коммуникаций.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/>
      <w:bookmarkStart w:id="0" w:name="_GoBack"/>
      <w:r/>
      <w:bookmarkEnd w:id="0"/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с: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Федеральным законом от 21 декабря 2001 года № 178-ФЗ «О приватизации государственного и муниципального имущества»;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постановлением Правительства Российской Федерации от 27.08.2012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муниципального имущества в электронной форме»;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Законом Томской области от 12 июля 2018 года № 80-ОЗ «О приватизации государственного имущества Томской области»;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постановлением Законодательной Думы Томской области от 27.10.2022 № 449 «О прогнозном плане (программе) приватизации государственного имущества Томской области на плановый период 2023-2025 годов».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площадки.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hAnsi="PT Astra Serif" w:eastAsia="Times New Roman"/>
          <w:sz w:val="24"/>
          <w:szCs w:val="24"/>
        </w:rPr>
        <w:t xml:space="preserve">для оформления участия в электронном аукционе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</w:t>
      </w:r>
      <w:r>
        <w:rPr>
          <w:rFonts w:ascii="PT Astra Serif" w:hAnsi="PT Astra Serif" w:eastAsia="Times New Roman"/>
          <w:sz w:val="24"/>
          <w:szCs w:val="24"/>
        </w:rPr>
        <w:t xml:space="preserve">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 указан в данном информационном сообщении. 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left="560" w:firstLine="149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 заявку на участие в электронном аукционе.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</w:t>
      </w:r>
      <w:r>
        <w:rPr>
          <w:rFonts w:ascii="PT Astra Serif" w:hAnsi="PT Astra Serif" w:eastAsia="Times New Roman"/>
          <w:sz w:val="24"/>
          <w:szCs w:val="24"/>
        </w:rPr>
        <w:t xml:space="preserve">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аукционе Претендент вносит задаток на указанный в настоящем Информационном со</w:t>
      </w:r>
      <w:r>
        <w:rPr>
          <w:rFonts w:ascii="PT Astra Serif" w:hAnsi="PT Astra Serif" w:eastAsia="Times New Roman"/>
          <w:sz w:val="24"/>
          <w:szCs w:val="24"/>
        </w:rPr>
        <w:t xml:space="preserve">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</w:t>
      </w:r>
      <w:r>
        <w:rPr>
          <w:rFonts w:ascii="PT Astra Serif" w:hAnsi="PT Astra Serif" w:eastAsia="Times New Roman"/>
          <w:sz w:val="24"/>
          <w:szCs w:val="24"/>
        </w:rPr>
        <w:t xml:space="preserve">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</w:t>
      </w:r>
      <w:r>
        <w:rPr>
          <w:rFonts w:ascii="PT Astra Serif" w:hAnsi="PT Astra Serif" w:eastAsia="Times New Roman"/>
          <w:sz w:val="24"/>
          <w:szCs w:val="24"/>
        </w:rPr>
        <w:t xml:space="preserve">ственным участником аукциона, в течение 5 (пяти) календарных дней с даты подведения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возвращается и он утрачивает право на заключение указанного договора.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данным информационным сообщением.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аукционе по следующим основаниям: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представленные документы не подтверждают право претендента быть покупателем в соответствии с законодательством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аукционе подана лицом, не уполномоченным претендентом на осуществление таких действий;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>
        <w:rPr>
          <w:rFonts w:ascii="PT Astra Serif" w:hAnsi="PT Astra Serif" w:eastAsia="Arial" w:cs="Arial"/>
          <w:sz w:val="20"/>
          <w:szCs w:val="20"/>
        </w:rPr>
      </w:r>
      <w:r>
        <w:rPr>
          <w:rFonts w:ascii="PT Astra Serif" w:hAnsi="PT Astra Serif" w:eastAsia="Arial" w:cs="Arial"/>
          <w:sz w:val="20"/>
          <w:szCs w:val="20"/>
        </w:rPr>
      </w:r>
    </w:p>
    <w:p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аукциона фиксируется электронной площадкой в электронном журнале.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Процедура аукциона считается завершенной со времени подписания организатором аукциона протокола об итогах аукциона.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7"/>
  </w:num>
  <w:num w:numId="5">
    <w:abstractNumId w:val="5"/>
  </w:num>
  <w:num w:numId="6">
    <w:abstractNumId w:val="0"/>
  </w:num>
  <w:num w:numId="7">
    <w:abstractNumId w:val="10"/>
  </w:num>
  <w:num w:numId="8">
    <w:abstractNumId w:val="9"/>
  </w:num>
  <w:num w:numId="9">
    <w:abstractNumId w:val="4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6">
    <w:name w:val="Heading 1 Char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677">
    <w:name w:val="Heading 2 Char"/>
    <w:basedOn w:val="702"/>
    <w:link w:val="694"/>
    <w:uiPriority w:val="9"/>
    <w:rPr>
      <w:rFonts w:ascii="Arial" w:hAnsi="Arial" w:eastAsia="Arial" w:cs="Arial"/>
      <w:sz w:val="34"/>
    </w:rPr>
  </w:style>
  <w:style w:type="character" w:styleId="678">
    <w:name w:val="Heading 3 Char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679">
    <w:name w:val="Heading 4 Char"/>
    <w:basedOn w:val="702"/>
    <w:link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680">
    <w:name w:val="Heading 5 Char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681">
    <w:name w:val="Heading 6 Char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682">
    <w:name w:val="Heading 7 Char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>
    <w:name w:val="Heading 8 Char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684">
    <w:name w:val="Heading 9 Char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character" w:styleId="685">
    <w:name w:val="Title Char"/>
    <w:basedOn w:val="702"/>
    <w:link w:val="715"/>
    <w:uiPriority w:val="10"/>
    <w:rPr>
      <w:sz w:val="48"/>
      <w:szCs w:val="48"/>
    </w:rPr>
  </w:style>
  <w:style w:type="character" w:styleId="686">
    <w:name w:val="Subtitle Char"/>
    <w:basedOn w:val="702"/>
    <w:link w:val="717"/>
    <w:uiPriority w:val="11"/>
    <w:rPr>
      <w:sz w:val="24"/>
      <w:szCs w:val="24"/>
    </w:rPr>
  </w:style>
  <w:style w:type="character" w:styleId="687">
    <w:name w:val="Quote Char"/>
    <w:link w:val="719"/>
    <w:uiPriority w:val="29"/>
    <w:rPr>
      <w:i/>
    </w:rPr>
  </w:style>
  <w:style w:type="character" w:styleId="688">
    <w:name w:val="Intense Quote Char"/>
    <w:link w:val="721"/>
    <w:uiPriority w:val="30"/>
    <w:rPr>
      <w:i/>
    </w:rPr>
  </w:style>
  <w:style w:type="character" w:styleId="689">
    <w:name w:val="Caption Char"/>
    <w:basedOn w:val="726"/>
    <w:link w:val="724"/>
    <w:uiPriority w:val="99"/>
  </w:style>
  <w:style w:type="character" w:styleId="690">
    <w:name w:val="Footnote Text Char"/>
    <w:link w:val="853"/>
    <w:uiPriority w:val="99"/>
    <w:rPr>
      <w:sz w:val="18"/>
    </w:rPr>
  </w:style>
  <w:style w:type="character" w:styleId="691">
    <w:name w:val="Endnote Text Char"/>
    <w:link w:val="856"/>
    <w:uiPriority w:val="99"/>
    <w:rPr>
      <w:sz w:val="20"/>
    </w:rPr>
  </w:style>
  <w:style w:type="paragraph" w:styleId="692" w:default="1">
    <w:name w:val="Normal"/>
    <w:qFormat/>
  </w:style>
  <w:style w:type="paragraph" w:styleId="693">
    <w:name w:val="Heading 1"/>
    <w:basedOn w:val="692"/>
    <w:next w:val="692"/>
    <w:link w:val="70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4">
    <w:name w:val="Heading 2"/>
    <w:basedOn w:val="692"/>
    <w:next w:val="692"/>
    <w:link w:val="70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5">
    <w:name w:val="Heading 3"/>
    <w:basedOn w:val="692"/>
    <w:next w:val="692"/>
    <w:link w:val="70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6">
    <w:name w:val="Heading 4"/>
    <w:basedOn w:val="692"/>
    <w:next w:val="692"/>
    <w:link w:val="70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692"/>
    <w:next w:val="692"/>
    <w:link w:val="70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692"/>
    <w:next w:val="692"/>
    <w:link w:val="71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99">
    <w:name w:val="Heading 7"/>
    <w:basedOn w:val="692"/>
    <w:next w:val="692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700">
    <w:name w:val="Heading 8"/>
    <w:basedOn w:val="692"/>
    <w:next w:val="692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701">
    <w:name w:val="Heading 9"/>
    <w:basedOn w:val="692"/>
    <w:next w:val="692"/>
    <w:link w:val="71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2" w:default="1">
    <w:name w:val="Default Paragraph Font"/>
    <w:uiPriority w:val="1"/>
    <w:semiHidden/>
    <w:unhideWhenUsed/>
  </w:style>
  <w:style w:type="table" w:styleId="7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4" w:default="1">
    <w:name w:val="No List"/>
    <w:uiPriority w:val="99"/>
    <w:semiHidden/>
    <w:unhideWhenUsed/>
  </w:style>
  <w:style w:type="character" w:styleId="705" w:customStyle="1">
    <w:name w:val="Заголовок 1 Знак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706" w:customStyle="1">
    <w:name w:val="Заголовок 2 Знак"/>
    <w:basedOn w:val="702"/>
    <w:link w:val="694"/>
    <w:uiPriority w:val="9"/>
    <w:rPr>
      <w:rFonts w:ascii="Arial" w:hAnsi="Arial" w:eastAsia="Arial" w:cs="Arial"/>
      <w:sz w:val="34"/>
    </w:rPr>
  </w:style>
  <w:style w:type="character" w:styleId="707" w:customStyle="1">
    <w:name w:val="Заголовок 3 Знак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708" w:customStyle="1">
    <w:name w:val="Заголовок 4 Знак"/>
    <w:basedOn w:val="702"/>
    <w:link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709" w:customStyle="1">
    <w:name w:val="Заголовок 5 Знак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710" w:customStyle="1">
    <w:name w:val="Заголовок 6 Знак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711" w:customStyle="1">
    <w:name w:val="Заголовок 7 Знак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2" w:customStyle="1">
    <w:name w:val="Заголовок 8 Знак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713" w:customStyle="1">
    <w:name w:val="Заголовок 9 Знак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paragraph" w:styleId="714">
    <w:name w:val="No Spacing"/>
    <w:uiPriority w:val="1"/>
    <w:qFormat/>
  </w:style>
  <w:style w:type="paragraph" w:styleId="715">
    <w:name w:val="Title"/>
    <w:basedOn w:val="692"/>
    <w:next w:val="692"/>
    <w:link w:val="71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6" w:customStyle="1">
    <w:name w:val="Название Знак"/>
    <w:basedOn w:val="702"/>
    <w:link w:val="715"/>
    <w:uiPriority w:val="10"/>
    <w:rPr>
      <w:sz w:val="48"/>
      <w:szCs w:val="48"/>
    </w:rPr>
  </w:style>
  <w:style w:type="paragraph" w:styleId="717">
    <w:name w:val="Subtitle"/>
    <w:basedOn w:val="692"/>
    <w:next w:val="692"/>
    <w:link w:val="718"/>
    <w:uiPriority w:val="11"/>
    <w:qFormat/>
    <w:pPr>
      <w:spacing w:before="200" w:after="200"/>
    </w:pPr>
    <w:rPr>
      <w:sz w:val="24"/>
      <w:szCs w:val="24"/>
    </w:rPr>
  </w:style>
  <w:style w:type="character" w:styleId="718" w:customStyle="1">
    <w:name w:val="Подзаголовок Знак"/>
    <w:basedOn w:val="702"/>
    <w:link w:val="717"/>
    <w:uiPriority w:val="11"/>
    <w:rPr>
      <w:sz w:val="24"/>
      <w:szCs w:val="24"/>
    </w:rPr>
  </w:style>
  <w:style w:type="paragraph" w:styleId="719">
    <w:name w:val="Quote"/>
    <w:basedOn w:val="692"/>
    <w:next w:val="692"/>
    <w:link w:val="720"/>
    <w:uiPriority w:val="29"/>
    <w:qFormat/>
    <w:pPr>
      <w:ind w:left="720" w:right="720"/>
    </w:pPr>
    <w:rPr>
      <w:i/>
    </w:rPr>
  </w:style>
  <w:style w:type="character" w:styleId="720" w:customStyle="1">
    <w:name w:val="Цитата 2 Знак"/>
    <w:link w:val="719"/>
    <w:uiPriority w:val="29"/>
    <w:rPr>
      <w:i/>
    </w:rPr>
  </w:style>
  <w:style w:type="paragraph" w:styleId="721">
    <w:name w:val="Intense Quote"/>
    <w:basedOn w:val="692"/>
    <w:next w:val="692"/>
    <w:link w:val="72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 w:customStyle="1">
    <w:name w:val="Выделенная цитата Знак"/>
    <w:link w:val="721"/>
    <w:uiPriority w:val="30"/>
    <w:rPr>
      <w:i/>
    </w:rPr>
  </w:style>
  <w:style w:type="character" w:styleId="723" w:customStyle="1">
    <w:name w:val="Header Char"/>
    <w:basedOn w:val="702"/>
    <w:uiPriority w:val="99"/>
  </w:style>
  <w:style w:type="paragraph" w:styleId="724">
    <w:name w:val="Footer"/>
    <w:basedOn w:val="692"/>
    <w:link w:val="72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5" w:customStyle="1">
    <w:name w:val="Footer Char"/>
    <w:basedOn w:val="702"/>
    <w:uiPriority w:val="99"/>
  </w:style>
  <w:style w:type="paragraph" w:styleId="726">
    <w:name w:val="Caption"/>
    <w:basedOn w:val="692"/>
    <w:next w:val="69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7" w:customStyle="1">
    <w:name w:val="Нижний колонтитул Знак"/>
    <w:link w:val="724"/>
    <w:uiPriority w:val="99"/>
  </w:style>
  <w:style w:type="table" w:styleId="728" w:customStyle="1">
    <w:name w:val="Table Grid Light"/>
    <w:basedOn w:val="703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9">
    <w:name w:val="Plain Table 1"/>
    <w:basedOn w:val="703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>
    <w:name w:val="Plain Table 2"/>
    <w:basedOn w:val="703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>
    <w:name w:val="Plain Table 3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2">
    <w:name w:val="Plain Table 4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Plain Table 5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4">
    <w:name w:val="Grid Table 1 Light"/>
    <w:basedOn w:val="703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1"/>
    <w:basedOn w:val="703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2"/>
    <w:basedOn w:val="703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3"/>
    <w:basedOn w:val="70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4"/>
    <w:basedOn w:val="703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5"/>
    <w:basedOn w:val="703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6"/>
    <w:basedOn w:val="703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2"/>
    <w:basedOn w:val="70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1"/>
    <w:basedOn w:val="703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2"/>
    <w:basedOn w:val="703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3"/>
    <w:basedOn w:val="70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4"/>
    <w:basedOn w:val="703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5"/>
    <w:basedOn w:val="703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6"/>
    <w:basedOn w:val="703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"/>
    <w:basedOn w:val="70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1"/>
    <w:basedOn w:val="703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2"/>
    <w:basedOn w:val="703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3"/>
    <w:basedOn w:val="70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4"/>
    <w:basedOn w:val="703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5"/>
    <w:basedOn w:val="703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6"/>
    <w:basedOn w:val="703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4"/>
    <w:basedOn w:val="703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6" w:customStyle="1">
    <w:name w:val="Grid Table 4 - Accent 1"/>
    <w:basedOn w:val="703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7" w:customStyle="1">
    <w:name w:val="Grid Table 4 - Accent 2"/>
    <w:basedOn w:val="703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8" w:customStyle="1">
    <w:name w:val="Grid Table 4 - Accent 3"/>
    <w:basedOn w:val="70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9" w:customStyle="1">
    <w:name w:val="Grid Table 4 - Accent 4"/>
    <w:basedOn w:val="703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0" w:customStyle="1">
    <w:name w:val="Grid Table 4 - Accent 5"/>
    <w:basedOn w:val="703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1" w:customStyle="1">
    <w:name w:val="Grid Table 4 - Accent 6"/>
    <w:basedOn w:val="703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2">
    <w:name w:val="Grid Table 5 Dark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- Accent 1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2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3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- Accent 4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5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6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9">
    <w:name w:val="Grid Table 6 Colorful"/>
    <w:basedOn w:val="70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0" w:customStyle="1">
    <w:name w:val="Grid Table 6 Colorful - Accent 1"/>
    <w:basedOn w:val="703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1" w:customStyle="1">
    <w:name w:val="Grid Table 6 Colorful - Accent 2"/>
    <w:basedOn w:val="70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2" w:customStyle="1">
    <w:name w:val="Grid Table 6 Colorful - Accent 3"/>
    <w:basedOn w:val="70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3" w:customStyle="1">
    <w:name w:val="Grid Table 6 Colorful - Accent 4"/>
    <w:basedOn w:val="70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4" w:customStyle="1">
    <w:name w:val="Grid Table 6 Colorful - Accent 5"/>
    <w:basedOn w:val="703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5" w:customStyle="1">
    <w:name w:val="Grid Table 6 Colorful - Accent 6"/>
    <w:basedOn w:val="703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>
    <w:name w:val="Grid Table 7 Colorful"/>
    <w:basedOn w:val="703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7 Colorful - Accent 1"/>
    <w:basedOn w:val="703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7 Colorful - Accent 2"/>
    <w:basedOn w:val="703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7 Colorful - Accent 3"/>
    <w:basedOn w:val="70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7 Colorful - Accent 4"/>
    <w:basedOn w:val="703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5"/>
    <w:basedOn w:val="703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6"/>
    <w:basedOn w:val="703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1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2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3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4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5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6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2"/>
    <w:basedOn w:val="703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1"/>
    <w:basedOn w:val="703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2"/>
    <w:basedOn w:val="703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3"/>
    <w:basedOn w:val="70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4"/>
    <w:basedOn w:val="703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5"/>
    <w:basedOn w:val="703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6"/>
    <w:basedOn w:val="703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7">
    <w:name w:val="List Table 3"/>
    <w:basedOn w:val="70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1"/>
    <w:basedOn w:val="703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2"/>
    <w:basedOn w:val="70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3"/>
    <w:basedOn w:val="70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4"/>
    <w:basedOn w:val="70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5"/>
    <w:basedOn w:val="703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6"/>
    <w:basedOn w:val="703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"/>
    <w:basedOn w:val="70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1"/>
    <w:basedOn w:val="703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2"/>
    <w:basedOn w:val="703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3"/>
    <w:basedOn w:val="70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4"/>
    <w:basedOn w:val="703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5"/>
    <w:basedOn w:val="703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6"/>
    <w:basedOn w:val="703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5 Dark"/>
    <w:basedOn w:val="70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1"/>
    <w:basedOn w:val="703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2"/>
    <w:basedOn w:val="70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3"/>
    <w:basedOn w:val="70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4"/>
    <w:basedOn w:val="70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5"/>
    <w:basedOn w:val="703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6"/>
    <w:basedOn w:val="703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>
    <w:name w:val="List Table 6 Colorful"/>
    <w:basedOn w:val="70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9" w:customStyle="1">
    <w:name w:val="List Table 6 Colorful - Accent 1"/>
    <w:basedOn w:val="703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0" w:customStyle="1">
    <w:name w:val="List Table 6 Colorful - Accent 2"/>
    <w:basedOn w:val="70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List Table 6 Colorful - Accent 3"/>
    <w:basedOn w:val="70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2" w:customStyle="1">
    <w:name w:val="List Table 6 Colorful - Accent 4"/>
    <w:basedOn w:val="70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List Table 6 Colorful - Accent 5"/>
    <w:basedOn w:val="703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4" w:customStyle="1">
    <w:name w:val="List Table 6 Colorful - Accent 6"/>
    <w:basedOn w:val="703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5">
    <w:name w:val="List Table 7 Colorful"/>
    <w:basedOn w:val="703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7 Colorful - Accent 1"/>
    <w:basedOn w:val="703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7 Colorful - Accent 2"/>
    <w:basedOn w:val="703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7 Colorful - Accent 3"/>
    <w:basedOn w:val="70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7 Colorful - Accent 4"/>
    <w:basedOn w:val="703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5"/>
    <w:basedOn w:val="703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6"/>
    <w:basedOn w:val="703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ned - Accent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3" w:customStyle="1">
    <w:name w:val="Lined - Accent 1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4" w:customStyle="1">
    <w:name w:val="Lined - Accent 2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5" w:customStyle="1">
    <w:name w:val="Lined - Accent 3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6" w:customStyle="1">
    <w:name w:val="Lined - Accent 4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7" w:customStyle="1">
    <w:name w:val="Lined - Accent 5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8" w:customStyle="1">
    <w:name w:val="Lined - Accent 6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9" w:customStyle="1">
    <w:name w:val="Bordered &amp; Lined - Accent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0" w:customStyle="1">
    <w:name w:val="Bordered &amp; Lined - Accent 1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1" w:customStyle="1">
    <w:name w:val="Bordered &amp; Lined - Accent 2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2" w:customStyle="1">
    <w:name w:val="Bordered &amp; Lined - Accent 3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3" w:customStyle="1">
    <w:name w:val="Bordered &amp; Lined - Accent 4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4" w:customStyle="1">
    <w:name w:val="Bordered &amp; Lined - Accent 5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5" w:customStyle="1">
    <w:name w:val="Bordered &amp; Lined - Accent 6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6" w:customStyle="1">
    <w:name w:val="Bordered"/>
    <w:basedOn w:val="703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7" w:customStyle="1">
    <w:name w:val="Bordered - Accent 1"/>
    <w:basedOn w:val="703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8" w:customStyle="1">
    <w:name w:val="Bordered - Accent 2"/>
    <w:basedOn w:val="703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9" w:customStyle="1">
    <w:name w:val="Bordered - Accent 3"/>
    <w:basedOn w:val="70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0" w:customStyle="1">
    <w:name w:val="Bordered - Accent 4"/>
    <w:basedOn w:val="703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1" w:customStyle="1">
    <w:name w:val="Bordered - Accent 5"/>
    <w:basedOn w:val="703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2" w:customStyle="1">
    <w:name w:val="Bordered - Accent 6"/>
    <w:basedOn w:val="703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3">
    <w:name w:val="footnote text"/>
    <w:basedOn w:val="692"/>
    <w:link w:val="854"/>
    <w:uiPriority w:val="99"/>
    <w:semiHidden/>
    <w:unhideWhenUsed/>
    <w:pPr>
      <w:spacing w:after="40"/>
    </w:pPr>
    <w:rPr>
      <w:sz w:val="18"/>
    </w:rPr>
  </w:style>
  <w:style w:type="character" w:styleId="854" w:customStyle="1">
    <w:name w:val="Текст сноски Знак"/>
    <w:link w:val="853"/>
    <w:uiPriority w:val="99"/>
    <w:rPr>
      <w:sz w:val="18"/>
    </w:rPr>
  </w:style>
  <w:style w:type="character" w:styleId="855">
    <w:name w:val="footnote reference"/>
    <w:basedOn w:val="702"/>
    <w:uiPriority w:val="99"/>
    <w:unhideWhenUsed/>
    <w:rPr>
      <w:vertAlign w:val="superscript"/>
    </w:rPr>
  </w:style>
  <w:style w:type="paragraph" w:styleId="856">
    <w:name w:val="endnote text"/>
    <w:basedOn w:val="692"/>
    <w:link w:val="857"/>
    <w:uiPriority w:val="99"/>
    <w:semiHidden/>
    <w:unhideWhenUsed/>
    <w:rPr>
      <w:sz w:val="20"/>
    </w:rPr>
  </w:style>
  <w:style w:type="character" w:styleId="857" w:customStyle="1">
    <w:name w:val="Текст концевой сноски Знак"/>
    <w:link w:val="856"/>
    <w:uiPriority w:val="99"/>
    <w:rPr>
      <w:sz w:val="20"/>
    </w:rPr>
  </w:style>
  <w:style w:type="character" w:styleId="858">
    <w:name w:val="endnote reference"/>
    <w:basedOn w:val="702"/>
    <w:uiPriority w:val="99"/>
    <w:semiHidden/>
    <w:unhideWhenUsed/>
    <w:rPr>
      <w:vertAlign w:val="superscript"/>
    </w:rPr>
  </w:style>
  <w:style w:type="paragraph" w:styleId="859">
    <w:name w:val="toc 1"/>
    <w:basedOn w:val="692"/>
    <w:next w:val="692"/>
    <w:uiPriority w:val="39"/>
    <w:unhideWhenUsed/>
    <w:pPr>
      <w:spacing w:after="57"/>
    </w:pPr>
  </w:style>
  <w:style w:type="paragraph" w:styleId="860">
    <w:name w:val="toc 2"/>
    <w:basedOn w:val="692"/>
    <w:next w:val="692"/>
    <w:uiPriority w:val="39"/>
    <w:unhideWhenUsed/>
    <w:pPr>
      <w:ind w:left="283"/>
      <w:spacing w:after="57"/>
    </w:pPr>
  </w:style>
  <w:style w:type="paragraph" w:styleId="861">
    <w:name w:val="toc 3"/>
    <w:basedOn w:val="692"/>
    <w:next w:val="692"/>
    <w:uiPriority w:val="39"/>
    <w:unhideWhenUsed/>
    <w:pPr>
      <w:ind w:left="567"/>
      <w:spacing w:after="57"/>
    </w:pPr>
  </w:style>
  <w:style w:type="paragraph" w:styleId="862">
    <w:name w:val="toc 4"/>
    <w:basedOn w:val="692"/>
    <w:next w:val="692"/>
    <w:uiPriority w:val="39"/>
    <w:unhideWhenUsed/>
    <w:pPr>
      <w:ind w:left="850"/>
      <w:spacing w:after="57"/>
    </w:pPr>
  </w:style>
  <w:style w:type="paragraph" w:styleId="863">
    <w:name w:val="toc 5"/>
    <w:basedOn w:val="692"/>
    <w:next w:val="692"/>
    <w:uiPriority w:val="39"/>
    <w:unhideWhenUsed/>
    <w:pPr>
      <w:ind w:left="1134"/>
      <w:spacing w:after="57"/>
    </w:pPr>
  </w:style>
  <w:style w:type="paragraph" w:styleId="864">
    <w:name w:val="toc 6"/>
    <w:basedOn w:val="692"/>
    <w:next w:val="692"/>
    <w:uiPriority w:val="39"/>
    <w:unhideWhenUsed/>
    <w:pPr>
      <w:ind w:left="1417"/>
      <w:spacing w:after="57"/>
    </w:pPr>
  </w:style>
  <w:style w:type="paragraph" w:styleId="865">
    <w:name w:val="toc 7"/>
    <w:basedOn w:val="692"/>
    <w:next w:val="692"/>
    <w:uiPriority w:val="39"/>
    <w:unhideWhenUsed/>
    <w:pPr>
      <w:ind w:left="1701"/>
      <w:spacing w:after="57"/>
    </w:pPr>
  </w:style>
  <w:style w:type="paragraph" w:styleId="866">
    <w:name w:val="toc 8"/>
    <w:basedOn w:val="692"/>
    <w:next w:val="692"/>
    <w:uiPriority w:val="39"/>
    <w:unhideWhenUsed/>
    <w:pPr>
      <w:ind w:left="1984"/>
      <w:spacing w:after="57"/>
    </w:pPr>
  </w:style>
  <w:style w:type="paragraph" w:styleId="867">
    <w:name w:val="toc 9"/>
    <w:basedOn w:val="692"/>
    <w:next w:val="692"/>
    <w:uiPriority w:val="39"/>
    <w:unhideWhenUsed/>
    <w:pPr>
      <w:ind w:left="2268"/>
      <w:spacing w:after="57"/>
    </w:pPr>
  </w:style>
  <w:style w:type="paragraph" w:styleId="868">
    <w:name w:val="TOC Heading"/>
    <w:uiPriority w:val="39"/>
    <w:unhideWhenUsed/>
  </w:style>
  <w:style w:type="paragraph" w:styleId="869">
    <w:name w:val="table of figures"/>
    <w:basedOn w:val="692"/>
    <w:next w:val="692"/>
    <w:uiPriority w:val="99"/>
    <w:unhideWhenUsed/>
  </w:style>
  <w:style w:type="character" w:styleId="870">
    <w:name w:val="Hyperlink"/>
    <w:basedOn w:val="702"/>
    <w:uiPriority w:val="99"/>
    <w:unhideWhenUsed/>
    <w:rPr>
      <w:color w:val="0000ff"/>
      <w:u w:val="single"/>
    </w:rPr>
  </w:style>
  <w:style w:type="paragraph" w:styleId="871">
    <w:name w:val="Header"/>
    <w:basedOn w:val="692"/>
    <w:link w:val="872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72" w:customStyle="1">
    <w:name w:val="Верхний колонтитул Знак"/>
    <w:basedOn w:val="702"/>
    <w:link w:val="871"/>
    <w:rPr>
      <w:rFonts w:eastAsia="Times New Roman"/>
      <w:sz w:val="24"/>
      <w:szCs w:val="24"/>
    </w:rPr>
  </w:style>
  <w:style w:type="paragraph" w:styleId="873" w:customStyle="1">
    <w:name w:val="ФИО"/>
    <w:basedOn w:val="692"/>
    <w:link w:val="874"/>
    <w:rPr>
      <w:rFonts w:eastAsia="Times New Roman"/>
      <w:b/>
      <w:sz w:val="24"/>
      <w:szCs w:val="24"/>
    </w:rPr>
  </w:style>
  <w:style w:type="character" w:styleId="874" w:customStyle="1">
    <w:name w:val="ФИО Знак"/>
    <w:link w:val="873"/>
    <w:rPr>
      <w:rFonts w:eastAsia="Times New Roman"/>
      <w:b/>
      <w:sz w:val="24"/>
      <w:szCs w:val="24"/>
    </w:rPr>
  </w:style>
  <w:style w:type="paragraph" w:styleId="875">
    <w:name w:val="Balloon Text"/>
    <w:basedOn w:val="692"/>
    <w:link w:val="876"/>
    <w:uiPriority w:val="99"/>
    <w:semiHidden/>
    <w:unhideWhenUsed/>
    <w:rPr>
      <w:rFonts w:ascii="Tahoma" w:hAnsi="Tahoma" w:cs="Tahoma"/>
      <w:sz w:val="16"/>
      <w:szCs w:val="16"/>
    </w:rPr>
  </w:style>
  <w:style w:type="character" w:styleId="876" w:customStyle="1">
    <w:name w:val="Текст выноски Знак"/>
    <w:basedOn w:val="702"/>
    <w:link w:val="875"/>
    <w:uiPriority w:val="99"/>
    <w:semiHidden/>
    <w:rPr>
      <w:rFonts w:ascii="Tahoma" w:hAnsi="Tahoma" w:cs="Tahoma"/>
      <w:sz w:val="16"/>
      <w:szCs w:val="16"/>
    </w:rPr>
  </w:style>
  <w:style w:type="paragraph" w:styleId="877">
    <w:name w:val="List Paragraph"/>
    <w:basedOn w:val="692"/>
    <w:uiPriority w:val="34"/>
    <w:qFormat/>
    <w:pPr>
      <w:contextualSpacing/>
      <w:ind w:left="720"/>
    </w:pPr>
  </w:style>
  <w:style w:type="table" w:styleId="878">
    <w:name w:val="Table Grid"/>
    <w:basedOn w:val="703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79" w:customStyle="1">
    <w:name w:val="Default"/>
    <w:rPr>
      <w:color w:val="000000"/>
      <w:sz w:val="24"/>
      <w:szCs w:val="24"/>
    </w:rPr>
  </w:style>
  <w:style w:type="paragraph" w:styleId="880">
    <w:name w:val="Body Text"/>
    <w:basedOn w:val="692"/>
    <w:link w:val="881"/>
    <w:rPr>
      <w:rFonts w:eastAsia="Times New Roman"/>
      <w:bCs/>
      <w:sz w:val="32"/>
      <w:szCs w:val="24"/>
    </w:rPr>
  </w:style>
  <w:style w:type="character" w:styleId="881" w:customStyle="1">
    <w:name w:val="Основной текст Знак"/>
    <w:basedOn w:val="702"/>
    <w:link w:val="880"/>
    <w:rPr>
      <w:rFonts w:eastAsia="Times New Roman"/>
      <w:bCs/>
      <w:sz w:val="32"/>
      <w:szCs w:val="24"/>
    </w:rPr>
  </w:style>
  <w:style w:type="character" w:styleId="882">
    <w:name w:val="FollowedHyperlink"/>
    <w:basedOn w:val="702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dugsto@gov70.ru" TargetMode="External"/><Relationship Id="rId11" Type="http://schemas.openxmlformats.org/officeDocument/2006/relationships/hyperlink" Target="mailto:fai@gki.tomsk.ru" TargetMode="External"/><Relationship Id="rId12" Type="http://schemas.openxmlformats.org/officeDocument/2006/relationships/hyperlink" Target="https://www.torgi.gov.&#1075;u" TargetMode="External"/><Relationship Id="rId13" Type="http://schemas.openxmlformats.org/officeDocument/2006/relationships/hyperlink" Target="https://dugs.tomsk.gov.ru/privatizatsija-prodazha-gosudarstvennogo-imuschestv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EBC99-34FD-4B3D-8CC9-9FC9AC7A5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revision>98</cp:revision>
  <dcterms:created xsi:type="dcterms:W3CDTF">2020-10-14T03:11:00Z</dcterms:created>
  <dcterms:modified xsi:type="dcterms:W3CDTF">2023-10-31T05:02:53Z</dcterms:modified>
</cp:coreProperties>
</file>