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spacing w:line="237" w:lineRule="auto"/>
        <w:rPr>
          <w:rFonts w:ascii="PT Astra Serif" w:hAnsi="PT Astra Serif" w:eastAsia="Times New Roman"/>
          <w:color w:val="000000"/>
          <w:sz w:val="24"/>
          <w:szCs w:val="24"/>
          <w:highlight w:val="none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 w:eastAsia="Times New Roman"/>
          <w:color w:val="000000"/>
          <w:sz w:val="24"/>
          <w:szCs w:val="24"/>
          <w:highlight w:val="none"/>
        </w:rPr>
      </w:r>
      <w:r>
        <w:rPr>
          <w:rFonts w:ascii="PT Astra Serif" w:hAnsi="PT Astra Serif" w:eastAsia="Times New Roman"/>
          <w:color w:val="000000"/>
          <w:sz w:val="24"/>
          <w:szCs w:val="24"/>
          <w:highlight w:val="none"/>
        </w:rPr>
      </w:r>
    </w:p>
    <w:p>
      <w:pPr>
        <w:ind w:left="120" w:right="-178"/>
        <w:jc w:val="both"/>
        <w:spacing w:line="237" w:lineRule="auto"/>
        <w:rPr>
          <w:rFonts w:ascii="PT Astra Serif" w:hAnsi="PT Astra Serif" w:eastAsia="Times New Roman"/>
          <w:color w:val="000000"/>
          <w:sz w:val="10"/>
          <w:szCs w:val="10"/>
        </w:rPr>
      </w:pPr>
      <w:r>
        <w:rPr>
          <w:rFonts w:ascii="PT Astra Serif" w:hAnsi="PT Astra Serif" w:eastAsia="Times New Roman"/>
          <w:bCs/>
          <w:color w:val="000000"/>
          <w:sz w:val="10"/>
          <w:szCs w:val="10"/>
          <w:highlight w:val="none"/>
        </w:rPr>
      </w:r>
      <w:r>
        <w:rPr>
          <w:rFonts w:ascii="PT Astra Serif" w:hAnsi="PT Astra Serif" w:eastAsia="Times New Roman"/>
          <w:color w:val="000000"/>
          <w:sz w:val="10"/>
          <w:szCs w:val="10"/>
        </w:rPr>
      </w:r>
      <w:r>
        <w:rPr>
          <w:rFonts w:ascii="PT Astra Serif" w:hAnsi="PT Astra Serif" w:eastAsia="Times New Roman"/>
          <w:color w:val="000000"/>
          <w:sz w:val="10"/>
          <w:szCs w:val="10"/>
        </w:rPr>
      </w:r>
    </w:p>
    <w:p>
      <w:pPr>
        <w:ind w:left="120" w:right="-178"/>
        <w:jc w:val="both"/>
        <w:spacing w:line="237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hyperlink r:id="rId10" w:tooltip="https://torgi.gov.ru/new/private/notice/view/658c003e8fb4b74d8e3ca1c8" w:history="1">
        <w:r>
          <w:rPr>
            <w:rStyle w:val="874"/>
            <w:rFonts w:ascii="PT Astra Serif" w:hAnsi="PT Astra Serif" w:eastAsia="PT Astra Serif" w:cs="PT Astra Serif"/>
            <w:b/>
            <w:color w:val="000000" w:themeColor="text1"/>
            <w:sz w:val="24"/>
            <w:szCs w:val="24"/>
            <w:u w:val="none"/>
          </w:rPr>
          <w:t xml:space="preserve">№21000022460000000045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82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21 декабря 2023 года № 842-ра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hyperlink r:id="rId11" w:tooltip="mailto:dugsto@gov70.ru" w:history="1">
              <w:r>
                <w:rPr>
                  <w:rStyle w:val="874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sz w:val="24"/>
                  <w:szCs w:val="24"/>
                </w:rPr>
              </w:r>
              <w:r>
                <w:rPr>
                  <w:rStyle w:val="874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hyperlink r:id="rId12" w:tooltip="mailto:fai@gki.tomsk.ru" w:history="1">
              <w:r>
                <w:rPr>
                  <w:rStyle w:val="87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7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dugs.gov70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sz w:val="24"/>
                  <w:szCs w:val="24"/>
                </w:rPr>
              </w:r>
              <w:r>
                <w:rPr>
                  <w:rStyle w:val="87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shoi@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dugs.gov70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dugs.gov70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площадка ООО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</w:rPr>
              <w:t xml:space="preserve"> контактные телефоны: 8 (499) 653-77-00,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пр.Фрунзе,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pStyle w:val="881"/>
              <w:ind w:left="0" w:firstLine="0"/>
              <w:jc w:val="both"/>
              <w:shd w:val="clear" w:color="auto" w:fill="ffffff"/>
              <w:widowControl w:val="off"/>
              <w:tabs>
                <w:tab w:val="left" w:pos="1134" w:leader="none"/>
                <w:tab w:val="clear" w:pos="4230" w:leader="none"/>
                <w:tab w:val="left" w:pos="9354" w:leader="none"/>
              </w:tabs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 w:themeColor="text1"/>
                <w:spacing w:val="-5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 xml:space="preserve">Нежилое здание, назначение: нежилое, площадь 441,8 кв. м, кадастровый номер 70:12:0203001:2043, по адресу: </w:t>
            </w: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 xml:space="preserve">Томская область, р-н Первомайский, с.Первомайское, ул. Ленинская, д. 101,</w:t>
            </w: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881"/>
              <w:ind w:left="0" w:firstLine="0"/>
              <w:jc w:val="both"/>
              <w:shd w:val="clear" w:color="auto" w:fill="ffffff"/>
              <w:widowControl w:val="off"/>
              <w:tabs>
                <w:tab w:val="left" w:pos="1134" w:leader="none"/>
                <w:tab w:val="clear" w:pos="4230" w:leader="none"/>
                <w:tab w:val="left" w:pos="9354" w:leader="none"/>
              </w:tabs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 xml:space="preserve">нежилое здание-гаража, назначение: нежилое, площадь 124,8 кв. м, кадастровый номер 70:12:0203001:2042 по адресу: </w:t>
            </w: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 xml:space="preserve">Томская область, Первомайский район, с.Первомайское, ул. Ленинская, д. 101, строен.1,</w:t>
            </w: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r>
          </w:p>
          <w:p>
            <w:pPr>
              <w:pStyle w:val="881"/>
              <w:ind w:left="0" w:firstLine="0"/>
              <w:jc w:val="both"/>
              <w:shd w:val="clear" w:color="auto" w:fill="ffffff"/>
              <w:widowControl w:val="off"/>
              <w:tabs>
                <w:tab w:val="left" w:pos="1134" w:leader="none"/>
                <w:tab w:val="clear" w:pos="4230" w:leader="none"/>
                <w:tab w:val="left" w:pos="9354" w:leader="none"/>
              </w:tabs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 xml:space="preserve">с земельным участком, занимаемым объектами недвижимости, категория земель: земли населенных пунктов, виды разрешенного использования: деловое управление, площадь 3874 кв. м, кадастровый номер 70:12:0203004:77, адрес:</w:t>
            </w: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 xml:space="preserve"> Томская область, р-н Первомайский, с. Первомайское, ул. Ленинская, 101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(далее – имущество).</w:t>
            </w: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3 957 000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три миллиона девятьсот пятьдесят семь 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4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395 700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триста девяносто пять тысяч семьсот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(10% начальной цены)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04.02.2024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«Совкомбанк»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197 850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 xml:space="preserve">сто девяносто семь тысяч восемьсот пятьдесят</w:t>
            </w:r>
            <w:r>
              <w:rPr>
                <w:rFonts w:ascii="PT Astra Serif" w:hAnsi="PT Astra Serif"/>
                <w:sz w:val="24"/>
              </w:rPr>
              <w:t xml:space="preserve">) рублей</w:t>
            </w:r>
            <w:r>
              <w:rPr>
                <w:rFonts w:ascii="PT Astra Serif" w:hAnsi="PT Astra Serif"/>
                <w:sz w:val="24"/>
              </w:rPr>
              <w:t xml:space="preserve"> (5%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площадка ООО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Дата начала подачи заявок: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29 декабря 2023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Дата окончания подачи зая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вок: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4 февраля 2024 года,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18 часов 00 минут по томскому времени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 даты подведения итогов аукциона.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874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874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ыгодоприобретатель» и «бенефициарный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случае,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5 февраля 2024 года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заявляются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площадка ООО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6 февраля 2024 года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ind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отношении земельного участка установлены ограничения (обременения) прав: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881"/>
              <w:numPr>
                <w:ilvl w:val="0"/>
                <w:numId w:val="13"/>
              </w:numPr>
              <w:ind w:left="0" w:right="0" w:firstLine="709"/>
              <w:jc w:val="both"/>
              <w:tabs>
                <w:tab w:val="clear" w:pos="4230" w:leader="none"/>
              </w:tabs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ограничения прав на земельный участок, предусмотренные статьей 56 Земельного кодекса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Российской Федерации. Срок действия: не установлен. Реквизиты документа-основания: свидетельство о государственной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регистрации права от 18.02.2013 № 372229, постановление Правительства Российской Федерации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от 24.02.2009 № 160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 «О порядке установления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охранных зон объектов электросетевого хозяйства и особых условий использования земельных участков, расположенных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границах таких зон», постановление Правительства Российской Федерации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от 26.08.2013 № 736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 «О некоторых вопросах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установления охранных зон объектов электросетевого хозяйства».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ind w:left="0" w:right="0" w:firstLine="709"/>
              <w:jc w:val="both"/>
              <w:tabs>
                <w:tab w:val="clear" w:pos="4230" w:leader="none"/>
              </w:tabs>
              <w:rPr>
                <w:rFonts w:ascii="PT Astra Serif" w:hAnsi="PT Astra Serif" w:eastAsia="PT Astra Serif" w:cs="PT Astra Serif"/>
                <w:color w:val="c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Содержание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ограничения (обременения): согласно Постановлению Правительства Российской Федерации от 24.02.2009 №160: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none"/>
              </w:rPr>
              <w:t xml:space="preserve">8.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 охранных зонах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запрещается осуществлять любые действия, которые могут нарушить безопасную работу объектов электросетевого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хозяйства (далее ЭСХ), в том числе привести к их повреждению или уничтожению, и (или) повлечь причинение вреда жизни,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здоровью граждан и имуществу физических или юридических лиц, а также повлечь нанесение экологического ущерба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возникновение пожаров, в том числе: а) набрасывать на провода и опоры воздушных линий электропередачи (далее ВЛ)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посторонние предметы, а также подниматься на опоры ВЛ; б) размещать любые объекты и предметы (материалы) в пределах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созданных в соответствии с требованиями нормативно-технических документов проходов и подъездов для доступа к объектам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ЭСХ, а также проводить любые работы и возводить сооружения, которые могут препятствовать доступу к объектам ЭСХ, без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создания необходимых для такого доступа проходов и подъездов; в) находиться в пределах огороженной территории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помещениях распределительных устройств и подстанций, открывать двери и люки распределительных устройств и подстанций,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производить переключения и подключения в электрических сетях разводить огонь в пределах охранных зон вводных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распределительных устройств, подстанций, ВЛ, а также в охранных зонах кабельных линий электропередачи (далее КЛЭП); г)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размещать свалки; д) производить работы ударными механизмами, сбрасывать тяжести массой свыше 5 тонн, производить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сброс и слив едких и коррозионных веществ и ГСМ (в охранных зонах подземных КЛЭП).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10. В пределах охранных зон без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письменного решения о согласовании сетевых организаций юридическим и физическим лицам запрещаются: а) строительство, капитальный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ремонт, реконструкция или снос зданий и сооружений; б) горные, взрывные, мелиоративные работы, в том числе связанные 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временным затоплением земель; в) посадка и вырубка деревьев и кустарников; г) дноуглубительные, землечерпальные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погрузочно-разгрузочные работы, добыча рыбы, других водных животных и растений придонными орудиями лова, устройство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водопоев, колка и заготовка льда (в охранных зонах подводных кабельных линий электропередачи); д) проход судов, у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которых расстояние по вертикали от верхнего крайнего габарита с грузом или без груза до нижней точки провеса проводов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переходов воздушных линий электропередачи через водоемы менее минимально допустимого расстояния, в том числе с учетом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максимального уровня подъема воды при паводке; е) проезд машин и механизмов, имеющих общую высоту с грузом или без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груза от поверхности дороги более 4,5 метра (в охранных зонах ВЛ); ж) земляные работы на глубине более 0,3метра (на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вспахиваемых землях на глубине более 0,45метра), а также планировка грунта (в охранных зонах подземных КЛЭП); з) полив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сельскохозяйственных культур в случае, если высота струи воды может составить свыше 3метров (в охранных зонах ВЛ); и)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полевые сельскохозяйственные работы с применением сельскохозяйственных машин и оборудования высотой более 4метров (в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охранных зонах ВЛ) или полевые сельскохозяйственные работы, связанные с вспашкой земли (в охранных зонах КЛЭП).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11.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охранных зонах, установленных для объектов ЭСХ напряжением до 1000 вольт без письменного решения о согласовании сетевых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организаций запрещается: а) размещать детские и спортивные площадки, стадионы, рынки, торговые точки, полевые станы, загоны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для скота, гаражи и стоянки всех видов машин и механизмов, садовые, огородные земельные участки и иные объекты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недвижимости, расположенные в границах территории ведения гражданами садоводства или огородничества для собственных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нужд, объекты жилищного строительства, в том числе индивидуального (в охранных зонах ВЛ); б) складировать или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размещать хранилища любых, в том числе ГСМ, материалов; в) устраивать причалы для стоянки судов, барж и плавучих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кранов, бросать якоря с судов и осуществлять их проход с отданными якорями, цепями, лотами, волокушами и тралами (в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охранных зонах подводных КЛЭП).</w:t>
            </w:r>
            <w:r>
              <w:rPr>
                <w:rFonts w:ascii="PT Astra Serif" w:hAnsi="PT Astra Serif" w:eastAsia="PT Astra Serif" w:cs="PT Astra Serif"/>
                <w:color w:val="c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c00000"/>
                <w:sz w:val="24"/>
                <w:szCs w:val="24"/>
                <w:highlight w:val="none"/>
              </w:rPr>
            </w:r>
          </w:p>
          <w:p>
            <w:pPr>
              <w:ind w:left="0" w:right="0" w:firstLine="709"/>
              <w:jc w:val="both"/>
              <w:tabs>
                <w:tab w:val="clear" w:pos="4230" w:leader="none"/>
              </w:tabs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Реестровый номер границы: 70:12-6.411. Вид объекта реестра границ: зона с особыми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условиями использования территории. Вид зоны по документу: охранная зона объекта электросетевого хозяйства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сооружение-трансформаторные подстанции 10/0,4кВ (диспетчерские наименования П-1-1,П-1-2,П-1-3,П-1-4,П-1-5,П-1-6,П-1-7,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П-1-8,П-1-9,П-1-10,П-1-11,П-1-12,П-3-14,П-6-16,П-6-17,П-10-1,П-10-2,П-10-3,П-10-5,П-10-6,П-10-11,П-10-13,П-10-15,П-10-17,П-10-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18,П-10-19,П-10-21,П-10-22,П-10-23,П-12-2,П-12-4,П-12-5,П-12-8,П-12-10,П-14-5,П-14-9) 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линиями электропередачи 0,4кВ; Тип зоны: охранная зона инженерных коммуникаций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;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pStyle w:val="881"/>
              <w:numPr>
                <w:ilvl w:val="0"/>
                <w:numId w:val="13"/>
              </w:numPr>
              <w:ind w:left="0" w:right="0" w:firstLine="709"/>
              <w:jc w:val="both"/>
              <w:tabs>
                <w:tab w:val="clear" w:pos="4230" w:leader="none"/>
              </w:tabs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ограничения прав на земельный участок, предусмотренные статьей 56 Земельного кодекса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Российской Федерации. Срок действия: не установлен. Реквизиты документа-основания: распоряжение Администрации Томской области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18.11.2022 № 733-ра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 об утверждении границ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охранной зоны газораспределительных сетей и наложении ограничений (обременений) на входящие в них земельные участки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ind w:left="0" w:right="0" w:firstLine="709"/>
              <w:jc w:val="both"/>
              <w:tabs>
                <w:tab w:val="clear" w:pos="4230" w:leader="none"/>
              </w:tabs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Содержание ограничения (обременения): На земельные участки,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входящие в охранные зоны газораспределительных сетей, в целях предупреждения их повреждения или нарушения условий 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нормальной эксплуатации налагаются ограничения (обременения), которыми запрещается лицам: юридическим и физическим 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являющихся собственниками, владельцами или пользователями земельных участков, расположенных в пределах охранных зон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газораспределительных сетей, либо проектирующих объекты жилищно-гражданского и производственного назначения, объекты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инженерной, транспортной и социальной инфраструктуры, либо осуществляющих в границах указанных земельных участков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любую хозяйственную деятельность: а) строить объекты жилищно-гражданского и производственного назначения; б) сносить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реконструировать мосты, коллекторы, автомобильные и железные дороги с расположенными на них газораспределительными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сетями без предварительного выноса этих газопроводов по согласованию с эксплуатационными организациями; в) разрушать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берегоукрепительные сооружения, водопропускные устройства, земляные и иные сооружения, предохраняющие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газораспределительные сети от разрушений; г) перемещать, повреждать, засыпать и уничтожать опознавательные знаки,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контрольно-измерительные пункты и другие устройства газораспределительных сетей; д) устраивать свалки и склады,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разливать растворы кислот, солей, щелочей и других химически активных веществ; е) огораживать и перегораживать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охранные зоны, препятствовать доступу персонала эксплуатационных организаций к газораспределительным сетям, проведению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обслуживания и устранению повреждений газораспределительных сетей; ж) разводить огонь и размещать источники огня; з)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рыть погреба, копать и обрабатывать почву сельскохозяйственными и мелиоративными орудиями и механизмами на глубину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более 0,3 метра; и) открывать калитки и двери газорегуляторных пунктов, станций катодной и дренажной защиты, люки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подземных колодцев, включать или отключать электроснабжение средств связи, освещения и систем телемеханики; к)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набрасывать, приставлять и привязывать к опорам и надземным газопроводам, ограждениям и зданиям газораспределительных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сетей посторонние предметы, лестницы, влезать на них; л) самовольно подключаться к газораспределительным сетям.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ind w:left="0" w:right="0" w:firstLine="709"/>
              <w:jc w:val="both"/>
              <w:tabs>
                <w:tab w:val="clear" w:pos="4230" w:leader="none"/>
              </w:tabs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Реестровый номер границы: 70:12-6.444. Вид объекта реестра границ: зона с особыми условиями использования территории.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Вид зоны по документу: охранная зона сооружения трубопроводного транспорта «Газоснабжение с. Первомайское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Первомайского района Томской области». Тип зоны: охранная зона инженерных коммуникаций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pStyle w:val="881"/>
              <w:numPr>
                <w:ilvl w:val="0"/>
                <w:numId w:val="13"/>
              </w:numPr>
              <w:ind w:left="0" w:right="0" w:firstLine="709"/>
              <w:jc w:val="both"/>
              <w:tabs>
                <w:tab w:val="clear" w:pos="4230" w:leader="none"/>
              </w:tabs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ограничения прав на земельный участок, предусмотренные статьей 56 Земельного кодекса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Российской Федерации. Срок действия: не установлен. Реквизиты документа-основания: свидетельство о государственной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регистрации права Росреестром от 18.02.2013 № 372229; постановление Правительства Российской Федерации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от 24.02.2009 № 160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 «О порядке установления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охранных зон объектов электросетевого хозяйства и особых условий использования земельных участков, расположенных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границах таких зон»; постановление Правительства Российской Федерации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от 26.08.2013 № 736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 «О некоторых вопросах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установления охранных зон объектов электросетевого хозяйства».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ind w:left="0" w:right="0" w:firstLine="709"/>
              <w:jc w:val="both"/>
              <w:tabs>
                <w:tab w:val="clear" w:pos="4230" w:leader="none"/>
              </w:tabs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Содержание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ограничения (обременения): Согласно Постановлению Правительства Российской Федерации от 24.02.2009 №160: 8. В охранных зонах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запрещается осуществлять любые действия, которые могут нарушить безопасную работу объектов электросетевого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хозяйства (далее ЭСХ), в том числе привести к их повреждению или уничтожению, и (или) повлечь причинение вреда жизни,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здоровью граждан и имуществу физических или юридических лиц, а также повлечь нанесение экологического ущерба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возникновение пожаров, в том числе: а) набрасывать на провода и опоры воздушных линий электропередачи (далее ВЛ)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посторонние предметы, а также подниматься на опоры ВЛ; б) размещать любые объекты и предметы (материалы) в пределах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созданных в соответствии с требованиями нормативно-технических документов проходов и подъездов для доступа к объектам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ЭСХ, а также проводить любые работы и возводить сооружения, которые могут препятствовать доступу к объектам ЭСХ, без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создания необходимых для такого доступа проходов и подъездов; в) находиться в пределах огороженной территории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помещениях распределительных устройств и подстанций, открывать двери и люки распределительных устройств и подстанций,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производить переключения и подключения в электрических сетях разводить огонь в пределах охранных зон вводных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распределительных устройств, подстанций, ВЛ, а также в охранных зонах кабельных линий электропередачи (далее КЛЭП); г)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размещать свалки; д) производить работы ударными механизмами, сбрасывать тяжести массой свыше 5 тонн, производить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сброс и слив едких и коррозионных веществ и ГСМ (в охранных зонах подземных КЛЭП) 10. В пределах охранных зон без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письменного решения о согласовании сетевых организаций юридическим и физическим лицам запрещаются: а) строительство, капитальный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ремонт, реконструкция или снос зданий и сооружений; б) горные, взрывные, мелиоративные работы, в том числе связанные 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временным затоплением земель; в) посадка и вырубка деревьев и кустарников; г) дноуглубительные, землечерпальные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погрузочно-разгрузочные работы, добыча рыбы, других водных животных и растений придонными орудиями лова, устройство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водопоев, колка и заготовка льда (в охранных зонах подводных кабельных линий электропередачи); д) проход судов, у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которых расстояние по вертикали от верхнего крайнего габарита с грузом или без груза до нижней точки провеса проводов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переходов воздушных линий электропередачи через водоемы менее минимально допустимого расстояния, в том числе с учетом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максимального уровня подъема воды при паводке; е) проезд машин и механизмов, имеющих общую высоту с грузом или без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груза от поверхности дороги более 4,5 метра (в охранных зонах ВЛ); ж) земляные работы на глубине более 0,3 метра (на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вспахиваемых землях на глубине более 0,45 метра), а также планировка грунта (в охранных зонах подземных КЛЭП); з) полив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сельскохозяйственных культур в случае, если высота струи воды может составить свыше 3 метров (в охранных зонах ВЛ); и)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полевые сельскохозяйственные работы с применением сельскохозяйственных машин и оборудования высотой более 4 метров (в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охранных зонах ВЛ) или полевые сельскохозяйственные работы, связанные с вспашкой земли (в охранных зонах КЛЭП) 11.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охранных зонах, установленных для объектов ЭСХ напряжением до 1000 вольт без письменного решения о согласовании сетевых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организаций запрещается: а) размещать детские и спортивные площадки, стадионы, рынки, торговые точки, полевые станы, загоны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для скота, гаражи и стоянки всех видов машин и механизмов, садовые, огородные земельные участки и иные объекты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недвижимости, расположенные в границах территории ведения гражданами садоводства или огородничества для собственных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нужд, объекты жилищного строительства, в том числе индивидуального (в охранных зонах ВЛ); б) складировать или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размещать хранилища любых, в том числе ГСМ, материалов; в) устраивать причалы для стоянки судов, барж и плавучих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кранов, бросать якоря с судов и осуществлять их проход с отданными якорями, цепями, лотами, волокушами и тралами (в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охранных зонах подводных КЛЭП).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ind w:left="0" w:right="0" w:firstLine="709"/>
              <w:jc w:val="both"/>
              <w:tabs>
                <w:tab w:val="clear" w:pos="4230" w:leader="none"/>
              </w:tabs>
              <w:rPr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Реестровый номер границы: 70:12-6.411. Вид объекта реестра границ: зона с особыми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условиями использования территории. Вид зоны по документу: охранная зона объекта электросетевого хозяйства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сооружение-трансформаторные подстанции 10/0,4кВ (диспетчерские наименования П-1-1,П-1-2,П-1-3,П-1-4,П-1-5,П-1-6,П-1-7,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П-1-8,П-1-9,П-1-10,П-1-11,П-1-12,П-3-14,П-6-16,П-6-17,П-10-1,П-10-2,П-10-3,П-10-5,П-10-6,П-10-11,П-10-13,П-10-15,П-10-17,П-10-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18,П-10-19,П-10-21,П-10-22,П-10-23,П-12-2,П-12-4,П-12-5,П-12-8,П-12-10,П-14-5,П-14-9) 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линиями электропередачи 0,4кВ. Тип зоны: охранная зона инженерных коммуникаций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.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/>
      <w:bookmarkStart w:id="0" w:name="_GoBack"/>
      <w:r/>
      <w:bookmarkEnd w:id="0"/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с: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постановлением Законодательной Думы Томской области от 27.10.2022 № 449 «О прогнозном плане (программе) приватизации государственного имущества Томской области на плановый период 2023-2025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</w:t>
      </w:r>
      <w:r>
        <w:rPr>
          <w:rFonts w:ascii="PT Astra Serif" w:hAnsi="PT Astra Serif" w:eastAsia="Times New Roman"/>
          <w:sz w:val="24"/>
          <w:szCs w:val="24"/>
        </w:rPr>
        <w:t xml:space="preserve">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 указан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</w:t>
      </w:r>
      <w:r>
        <w:rPr>
          <w:rFonts w:ascii="PT Astra Serif" w:hAnsi="PT Astra Serif" w:eastAsia="Times New Roman"/>
          <w:sz w:val="24"/>
          <w:szCs w:val="24"/>
        </w:rPr>
        <w:t xml:space="preserve">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</w:t>
      </w:r>
      <w:r>
        <w:rPr>
          <w:rFonts w:ascii="PT Astra Serif" w:hAnsi="PT Astra Serif" w:eastAsia="Times New Roman"/>
          <w:sz w:val="24"/>
          <w:szCs w:val="24"/>
        </w:rPr>
        <w:t xml:space="preserve">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</w:t>
      </w:r>
      <w:r>
        <w:rPr>
          <w:rFonts w:ascii="PT Astra Serif" w:hAnsi="PT Astra Serif" w:eastAsia="Times New Roman"/>
          <w:sz w:val="24"/>
          <w:szCs w:val="24"/>
        </w:rPr>
        <w:t xml:space="preserve">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</w:t>
      </w:r>
      <w:r>
        <w:rPr>
          <w:rFonts w:ascii="PT Astra Serif" w:hAnsi="PT Astra Serif" w:eastAsia="Times New Roman"/>
          <w:sz w:val="24"/>
          <w:szCs w:val="24"/>
        </w:rPr>
        <w:t xml:space="preserve">ственным участником аукциона, в течение 5 (пяти) календарных дней с даты подведения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0"/>
  </w:num>
  <w:num w:numId="7">
    <w:abstractNumId w:val="10"/>
  </w:num>
  <w:num w:numId="8">
    <w:abstractNumId w:val="9"/>
  </w:num>
  <w:num w:numId="9">
    <w:abstractNumId w:val="4"/>
  </w:num>
  <w:num w:numId="10">
    <w:abstractNumId w:val="3"/>
  </w:num>
  <w:num w:numId="11">
    <w:abstractNumId w:val="1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0">
    <w:name w:val="Heading 1 Char"/>
    <w:basedOn w:val="706"/>
    <w:link w:val="697"/>
    <w:uiPriority w:val="9"/>
    <w:rPr>
      <w:rFonts w:ascii="Arial" w:hAnsi="Arial" w:eastAsia="Arial" w:cs="Arial"/>
      <w:sz w:val="40"/>
      <w:szCs w:val="40"/>
    </w:rPr>
  </w:style>
  <w:style w:type="character" w:styleId="681">
    <w:name w:val="Heading 2 Char"/>
    <w:basedOn w:val="706"/>
    <w:link w:val="698"/>
    <w:uiPriority w:val="9"/>
    <w:rPr>
      <w:rFonts w:ascii="Arial" w:hAnsi="Arial" w:eastAsia="Arial" w:cs="Arial"/>
      <w:sz w:val="34"/>
    </w:rPr>
  </w:style>
  <w:style w:type="character" w:styleId="682">
    <w:name w:val="Heading 3 Char"/>
    <w:basedOn w:val="706"/>
    <w:link w:val="699"/>
    <w:uiPriority w:val="9"/>
    <w:rPr>
      <w:rFonts w:ascii="Arial" w:hAnsi="Arial" w:eastAsia="Arial" w:cs="Arial"/>
      <w:sz w:val="30"/>
      <w:szCs w:val="30"/>
    </w:rPr>
  </w:style>
  <w:style w:type="character" w:styleId="683">
    <w:name w:val="Heading 4 Char"/>
    <w:basedOn w:val="706"/>
    <w:link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684">
    <w:name w:val="Heading 5 Char"/>
    <w:basedOn w:val="706"/>
    <w:link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685">
    <w:name w:val="Heading 6 Char"/>
    <w:basedOn w:val="706"/>
    <w:link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686">
    <w:name w:val="Heading 7 Char"/>
    <w:basedOn w:val="706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8 Char"/>
    <w:basedOn w:val="706"/>
    <w:link w:val="704"/>
    <w:uiPriority w:val="9"/>
    <w:rPr>
      <w:rFonts w:ascii="Arial" w:hAnsi="Arial" w:eastAsia="Arial" w:cs="Arial"/>
      <w:i/>
      <w:iCs/>
      <w:sz w:val="22"/>
      <w:szCs w:val="22"/>
    </w:rPr>
  </w:style>
  <w:style w:type="character" w:styleId="688">
    <w:name w:val="Heading 9 Char"/>
    <w:basedOn w:val="706"/>
    <w:link w:val="705"/>
    <w:uiPriority w:val="9"/>
    <w:rPr>
      <w:rFonts w:ascii="Arial" w:hAnsi="Arial" w:eastAsia="Arial" w:cs="Arial"/>
      <w:i/>
      <w:iCs/>
      <w:sz w:val="21"/>
      <w:szCs w:val="21"/>
    </w:rPr>
  </w:style>
  <w:style w:type="character" w:styleId="689">
    <w:name w:val="Title Char"/>
    <w:basedOn w:val="706"/>
    <w:link w:val="719"/>
    <w:uiPriority w:val="10"/>
    <w:rPr>
      <w:sz w:val="48"/>
      <w:szCs w:val="48"/>
    </w:rPr>
  </w:style>
  <w:style w:type="character" w:styleId="690">
    <w:name w:val="Subtitle Char"/>
    <w:basedOn w:val="706"/>
    <w:link w:val="721"/>
    <w:uiPriority w:val="11"/>
    <w:rPr>
      <w:sz w:val="24"/>
      <w:szCs w:val="24"/>
    </w:rPr>
  </w:style>
  <w:style w:type="character" w:styleId="691">
    <w:name w:val="Quote Char"/>
    <w:link w:val="723"/>
    <w:uiPriority w:val="29"/>
    <w:rPr>
      <w:i/>
    </w:rPr>
  </w:style>
  <w:style w:type="character" w:styleId="692">
    <w:name w:val="Intense Quote Char"/>
    <w:link w:val="725"/>
    <w:uiPriority w:val="30"/>
    <w:rPr>
      <w:i/>
    </w:rPr>
  </w:style>
  <w:style w:type="character" w:styleId="693">
    <w:name w:val="Caption Char"/>
    <w:basedOn w:val="730"/>
    <w:link w:val="728"/>
    <w:uiPriority w:val="99"/>
  </w:style>
  <w:style w:type="character" w:styleId="694">
    <w:name w:val="Footnote Text Char"/>
    <w:link w:val="857"/>
    <w:uiPriority w:val="99"/>
    <w:rPr>
      <w:sz w:val="18"/>
    </w:rPr>
  </w:style>
  <w:style w:type="character" w:styleId="695">
    <w:name w:val="Endnote Text Char"/>
    <w:link w:val="860"/>
    <w:uiPriority w:val="99"/>
    <w:rPr>
      <w:sz w:val="20"/>
    </w:r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8">
    <w:name w:val="Heading 2"/>
    <w:basedOn w:val="696"/>
    <w:next w:val="696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9">
    <w:name w:val="Heading 3"/>
    <w:basedOn w:val="696"/>
    <w:next w:val="696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0">
    <w:name w:val="Heading 4"/>
    <w:basedOn w:val="696"/>
    <w:next w:val="696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1">
    <w:name w:val="Heading 5"/>
    <w:basedOn w:val="696"/>
    <w:next w:val="696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696"/>
    <w:next w:val="696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03">
    <w:name w:val="Heading 7"/>
    <w:basedOn w:val="696"/>
    <w:next w:val="696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04">
    <w:name w:val="Heading 8"/>
    <w:basedOn w:val="696"/>
    <w:next w:val="696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05">
    <w:name w:val="Heading 9"/>
    <w:basedOn w:val="696"/>
    <w:next w:val="696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Arial" w:hAnsi="Arial" w:eastAsia="Arial" w:cs="Arial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Arial" w:hAnsi="Arial" w:eastAsia="Arial" w:cs="Arial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Arial" w:hAnsi="Arial" w:eastAsia="Arial" w:cs="Arial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Arial" w:hAnsi="Arial" w:eastAsia="Arial" w:cs="Arial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No Spacing"/>
    <w:uiPriority w:val="1"/>
    <w:qFormat/>
  </w:style>
  <w:style w:type="paragraph" w:styleId="719">
    <w:name w:val="Title"/>
    <w:basedOn w:val="696"/>
    <w:next w:val="696"/>
    <w:link w:val="7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0" w:customStyle="1">
    <w:name w:val="Название Знак"/>
    <w:basedOn w:val="706"/>
    <w:link w:val="719"/>
    <w:uiPriority w:val="10"/>
    <w:rPr>
      <w:sz w:val="48"/>
      <w:szCs w:val="48"/>
    </w:rPr>
  </w:style>
  <w:style w:type="paragraph" w:styleId="721">
    <w:name w:val="Subtitle"/>
    <w:basedOn w:val="696"/>
    <w:next w:val="696"/>
    <w:link w:val="722"/>
    <w:uiPriority w:val="11"/>
    <w:qFormat/>
    <w:pPr>
      <w:spacing w:before="200" w:after="200"/>
    </w:pPr>
    <w:rPr>
      <w:sz w:val="24"/>
      <w:szCs w:val="24"/>
    </w:rPr>
  </w:style>
  <w:style w:type="character" w:styleId="722" w:customStyle="1">
    <w:name w:val="Подзаголовок Знак"/>
    <w:basedOn w:val="706"/>
    <w:link w:val="721"/>
    <w:uiPriority w:val="11"/>
    <w:rPr>
      <w:sz w:val="24"/>
      <w:szCs w:val="24"/>
    </w:rPr>
  </w:style>
  <w:style w:type="paragraph" w:styleId="723">
    <w:name w:val="Quote"/>
    <w:basedOn w:val="696"/>
    <w:next w:val="696"/>
    <w:link w:val="724"/>
    <w:uiPriority w:val="29"/>
    <w:qFormat/>
    <w:pPr>
      <w:ind w:left="720" w:right="720"/>
    </w:pPr>
    <w:rPr>
      <w:i/>
    </w:rPr>
  </w:style>
  <w:style w:type="character" w:styleId="724" w:customStyle="1">
    <w:name w:val="Цитата 2 Знак"/>
    <w:link w:val="723"/>
    <w:uiPriority w:val="29"/>
    <w:rPr>
      <w:i/>
    </w:rPr>
  </w:style>
  <w:style w:type="paragraph" w:styleId="725">
    <w:name w:val="Intense Quote"/>
    <w:basedOn w:val="696"/>
    <w:next w:val="696"/>
    <w:link w:val="72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 w:customStyle="1">
    <w:name w:val="Выделенная цитата Знак"/>
    <w:link w:val="725"/>
    <w:uiPriority w:val="30"/>
    <w:rPr>
      <w:i/>
    </w:rPr>
  </w:style>
  <w:style w:type="character" w:styleId="727" w:customStyle="1">
    <w:name w:val="Header Char"/>
    <w:basedOn w:val="706"/>
    <w:uiPriority w:val="99"/>
  </w:style>
  <w:style w:type="paragraph" w:styleId="728">
    <w:name w:val="Footer"/>
    <w:basedOn w:val="696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9" w:customStyle="1">
    <w:name w:val="Footer Char"/>
    <w:basedOn w:val="706"/>
    <w:uiPriority w:val="99"/>
  </w:style>
  <w:style w:type="paragraph" w:styleId="730">
    <w:name w:val="Caption"/>
    <w:basedOn w:val="696"/>
    <w:next w:val="6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 w:customStyle="1">
    <w:name w:val="Нижний колонтитул Знак"/>
    <w:link w:val="728"/>
    <w:uiPriority w:val="99"/>
  </w:style>
  <w:style w:type="table" w:styleId="732" w:customStyle="1">
    <w:name w:val="Table Grid Light"/>
    <w:basedOn w:val="70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basedOn w:val="70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707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7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7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7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707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1"/>
    <w:basedOn w:val="707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2"/>
    <w:basedOn w:val="707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3"/>
    <w:basedOn w:val="707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4"/>
    <w:basedOn w:val="707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5"/>
    <w:basedOn w:val="707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6"/>
    <w:basedOn w:val="707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70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1"/>
    <w:basedOn w:val="707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2"/>
    <w:basedOn w:val="707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3"/>
    <w:basedOn w:val="707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4"/>
    <w:basedOn w:val="707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5"/>
    <w:basedOn w:val="707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6"/>
    <w:basedOn w:val="707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70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1"/>
    <w:basedOn w:val="707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2"/>
    <w:basedOn w:val="707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3"/>
    <w:basedOn w:val="707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4"/>
    <w:basedOn w:val="707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5"/>
    <w:basedOn w:val="707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6"/>
    <w:basedOn w:val="707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707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Grid Table 4 - Accent 1"/>
    <w:basedOn w:val="707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1" w:customStyle="1">
    <w:name w:val="Grid Table 4 - Accent 2"/>
    <w:basedOn w:val="707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2" w:customStyle="1">
    <w:name w:val="Grid Table 4 - Accent 3"/>
    <w:basedOn w:val="707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3" w:customStyle="1">
    <w:name w:val="Grid Table 4 - Accent 4"/>
    <w:basedOn w:val="707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4" w:customStyle="1">
    <w:name w:val="Grid Table 4 - Accent 5"/>
    <w:basedOn w:val="707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5" w:customStyle="1">
    <w:name w:val="Grid Table 4 - Accent 6"/>
    <w:basedOn w:val="707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6">
    <w:name w:val="Grid Table 5 Dark"/>
    <w:basedOn w:val="70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1"/>
    <w:basedOn w:val="70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2"/>
    <w:basedOn w:val="70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3"/>
    <w:basedOn w:val="70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4"/>
    <w:basedOn w:val="70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5"/>
    <w:basedOn w:val="70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6"/>
    <w:basedOn w:val="70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3">
    <w:name w:val="Grid Table 6 Colorful"/>
    <w:basedOn w:val="70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4" w:customStyle="1">
    <w:name w:val="Grid Table 6 Colorful - Accent 1"/>
    <w:basedOn w:val="707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5" w:customStyle="1">
    <w:name w:val="Grid Table 6 Colorful - Accent 2"/>
    <w:basedOn w:val="70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6" w:customStyle="1">
    <w:name w:val="Grid Table 6 Colorful - Accent 3"/>
    <w:basedOn w:val="707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7" w:customStyle="1">
    <w:name w:val="Grid Table 6 Colorful - Accent 4"/>
    <w:basedOn w:val="70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8" w:customStyle="1">
    <w:name w:val="Grid Table 6 Colorful - Accent 5"/>
    <w:basedOn w:val="707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6 Colorful - Accent 6"/>
    <w:basedOn w:val="707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>
    <w:name w:val="Grid Table 7 Colorful"/>
    <w:basedOn w:val="707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1"/>
    <w:basedOn w:val="707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2"/>
    <w:basedOn w:val="707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3"/>
    <w:basedOn w:val="707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4"/>
    <w:basedOn w:val="707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5"/>
    <w:basedOn w:val="707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6"/>
    <w:basedOn w:val="707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7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1"/>
    <w:basedOn w:val="7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2"/>
    <w:basedOn w:val="7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3"/>
    <w:basedOn w:val="7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4"/>
    <w:basedOn w:val="7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5"/>
    <w:basedOn w:val="7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6"/>
    <w:basedOn w:val="70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707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1"/>
    <w:basedOn w:val="707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2"/>
    <w:basedOn w:val="707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3"/>
    <w:basedOn w:val="707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4"/>
    <w:basedOn w:val="707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5"/>
    <w:basedOn w:val="707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6"/>
    <w:basedOn w:val="707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70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1"/>
    <w:basedOn w:val="707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2"/>
    <w:basedOn w:val="70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3"/>
    <w:basedOn w:val="707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4"/>
    <w:basedOn w:val="70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5"/>
    <w:basedOn w:val="707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6"/>
    <w:basedOn w:val="707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70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1"/>
    <w:basedOn w:val="707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2"/>
    <w:basedOn w:val="707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3"/>
    <w:basedOn w:val="707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4"/>
    <w:basedOn w:val="707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5"/>
    <w:basedOn w:val="707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6"/>
    <w:basedOn w:val="707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70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1"/>
    <w:basedOn w:val="707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2"/>
    <w:basedOn w:val="70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3"/>
    <w:basedOn w:val="707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4"/>
    <w:basedOn w:val="70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5"/>
    <w:basedOn w:val="707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6"/>
    <w:basedOn w:val="707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>
    <w:name w:val="List Table 6 Colorful"/>
    <w:basedOn w:val="70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3" w:customStyle="1">
    <w:name w:val="List Table 6 Colorful - Accent 1"/>
    <w:basedOn w:val="707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4" w:customStyle="1">
    <w:name w:val="List Table 6 Colorful - Accent 2"/>
    <w:basedOn w:val="70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5" w:customStyle="1">
    <w:name w:val="List Table 6 Colorful - Accent 3"/>
    <w:basedOn w:val="707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6" w:customStyle="1">
    <w:name w:val="List Table 6 Colorful - Accent 4"/>
    <w:basedOn w:val="70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7" w:customStyle="1">
    <w:name w:val="List Table 6 Colorful - Accent 5"/>
    <w:basedOn w:val="707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8" w:customStyle="1">
    <w:name w:val="List Table 6 Colorful - Accent 6"/>
    <w:basedOn w:val="707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9">
    <w:name w:val="List Table 7 Colorful"/>
    <w:basedOn w:val="707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1"/>
    <w:basedOn w:val="707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2"/>
    <w:basedOn w:val="707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3"/>
    <w:basedOn w:val="707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4"/>
    <w:basedOn w:val="707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5"/>
    <w:basedOn w:val="707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6"/>
    <w:basedOn w:val="707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ned - Accent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Lined - Accent 1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8" w:customStyle="1">
    <w:name w:val="Lined - Accent 2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9" w:customStyle="1">
    <w:name w:val="Lined - Accent 3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0" w:customStyle="1">
    <w:name w:val="Lined - Accent 4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1" w:customStyle="1">
    <w:name w:val="Lined - Accent 5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2" w:customStyle="1">
    <w:name w:val="Lined - Accent 6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3" w:customStyle="1">
    <w:name w:val="Bordered &amp; Lined - Accent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Bordered &amp; Lined - Accent 1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5" w:customStyle="1">
    <w:name w:val="Bordered &amp; Lined - Accent 2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6" w:customStyle="1">
    <w:name w:val="Bordered &amp; Lined - Accent 3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7" w:customStyle="1">
    <w:name w:val="Bordered &amp; Lined - Accent 4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8" w:customStyle="1">
    <w:name w:val="Bordered &amp; Lined - Accent 5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9" w:customStyle="1">
    <w:name w:val="Bordered &amp; Lined - Accent 6"/>
    <w:basedOn w:val="707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0" w:customStyle="1">
    <w:name w:val="Bordered"/>
    <w:basedOn w:val="707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1" w:customStyle="1">
    <w:name w:val="Bordered - Accent 1"/>
    <w:basedOn w:val="707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2" w:customStyle="1">
    <w:name w:val="Bordered - Accent 2"/>
    <w:basedOn w:val="707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3" w:customStyle="1">
    <w:name w:val="Bordered - Accent 3"/>
    <w:basedOn w:val="707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4" w:customStyle="1">
    <w:name w:val="Bordered - Accent 4"/>
    <w:basedOn w:val="707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5" w:customStyle="1">
    <w:name w:val="Bordered - Accent 5"/>
    <w:basedOn w:val="707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6" w:customStyle="1">
    <w:name w:val="Bordered - Accent 6"/>
    <w:basedOn w:val="707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7">
    <w:name w:val="footnote text"/>
    <w:basedOn w:val="696"/>
    <w:link w:val="858"/>
    <w:uiPriority w:val="99"/>
    <w:semiHidden/>
    <w:unhideWhenUsed/>
    <w:pPr>
      <w:spacing w:after="40"/>
    </w:pPr>
    <w:rPr>
      <w:sz w:val="18"/>
    </w:rPr>
  </w:style>
  <w:style w:type="character" w:styleId="858" w:customStyle="1">
    <w:name w:val="Текст сноски Знак"/>
    <w:link w:val="857"/>
    <w:uiPriority w:val="99"/>
    <w:rPr>
      <w:sz w:val="18"/>
    </w:rPr>
  </w:style>
  <w:style w:type="character" w:styleId="859">
    <w:name w:val="footnote reference"/>
    <w:basedOn w:val="706"/>
    <w:uiPriority w:val="99"/>
    <w:unhideWhenUsed/>
    <w:rPr>
      <w:vertAlign w:val="superscript"/>
    </w:rPr>
  </w:style>
  <w:style w:type="paragraph" w:styleId="860">
    <w:name w:val="endnote text"/>
    <w:basedOn w:val="696"/>
    <w:link w:val="861"/>
    <w:uiPriority w:val="99"/>
    <w:semiHidden/>
    <w:unhideWhenUsed/>
    <w:rPr>
      <w:sz w:val="20"/>
    </w:rPr>
  </w:style>
  <w:style w:type="character" w:styleId="861" w:customStyle="1">
    <w:name w:val="Текст концевой сноски Знак"/>
    <w:link w:val="860"/>
    <w:uiPriority w:val="99"/>
    <w:rPr>
      <w:sz w:val="20"/>
    </w:rPr>
  </w:style>
  <w:style w:type="character" w:styleId="862">
    <w:name w:val="endnote reference"/>
    <w:basedOn w:val="706"/>
    <w:uiPriority w:val="99"/>
    <w:semiHidden/>
    <w:unhideWhenUsed/>
    <w:rPr>
      <w:vertAlign w:val="superscript"/>
    </w:rPr>
  </w:style>
  <w:style w:type="paragraph" w:styleId="863">
    <w:name w:val="toc 1"/>
    <w:basedOn w:val="696"/>
    <w:next w:val="696"/>
    <w:uiPriority w:val="39"/>
    <w:unhideWhenUsed/>
    <w:pPr>
      <w:spacing w:after="57"/>
    </w:pPr>
  </w:style>
  <w:style w:type="paragraph" w:styleId="864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5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6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7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8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69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70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71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72">
    <w:name w:val="TOC Heading"/>
    <w:uiPriority w:val="39"/>
    <w:unhideWhenUsed/>
  </w:style>
  <w:style w:type="paragraph" w:styleId="873">
    <w:name w:val="table of figures"/>
    <w:basedOn w:val="696"/>
    <w:next w:val="696"/>
    <w:uiPriority w:val="99"/>
    <w:unhideWhenUsed/>
  </w:style>
  <w:style w:type="character" w:styleId="874">
    <w:name w:val="Hyperlink"/>
    <w:basedOn w:val="706"/>
    <w:uiPriority w:val="99"/>
    <w:unhideWhenUsed/>
    <w:rPr>
      <w:color w:val="0000ff"/>
      <w:u w:val="single"/>
    </w:rPr>
  </w:style>
  <w:style w:type="paragraph" w:styleId="875">
    <w:name w:val="Header"/>
    <w:basedOn w:val="696"/>
    <w:link w:val="876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6" w:customStyle="1">
    <w:name w:val="Верхний колонтитул Знак"/>
    <w:basedOn w:val="706"/>
    <w:link w:val="875"/>
    <w:rPr>
      <w:rFonts w:eastAsia="Times New Roman"/>
      <w:sz w:val="24"/>
      <w:szCs w:val="24"/>
    </w:rPr>
  </w:style>
  <w:style w:type="paragraph" w:styleId="877" w:customStyle="1">
    <w:name w:val="ФИО"/>
    <w:basedOn w:val="696"/>
    <w:link w:val="878"/>
    <w:rPr>
      <w:rFonts w:eastAsia="Times New Roman"/>
      <w:b/>
      <w:sz w:val="24"/>
      <w:szCs w:val="24"/>
    </w:rPr>
  </w:style>
  <w:style w:type="character" w:styleId="878" w:customStyle="1">
    <w:name w:val="ФИО Знак"/>
    <w:link w:val="877"/>
    <w:rPr>
      <w:rFonts w:eastAsia="Times New Roman"/>
      <w:b/>
      <w:sz w:val="24"/>
      <w:szCs w:val="24"/>
    </w:rPr>
  </w:style>
  <w:style w:type="paragraph" w:styleId="879">
    <w:name w:val="Balloon Text"/>
    <w:basedOn w:val="696"/>
    <w:link w:val="880"/>
    <w:uiPriority w:val="99"/>
    <w:semiHidden/>
    <w:unhideWhenUsed/>
    <w:rPr>
      <w:rFonts w:ascii="Tahoma" w:hAnsi="Tahoma" w:cs="Tahoma"/>
      <w:sz w:val="16"/>
      <w:szCs w:val="16"/>
    </w:rPr>
  </w:style>
  <w:style w:type="character" w:styleId="880" w:customStyle="1">
    <w:name w:val="Текст выноски Знак"/>
    <w:basedOn w:val="706"/>
    <w:link w:val="879"/>
    <w:uiPriority w:val="99"/>
    <w:semiHidden/>
    <w:rPr>
      <w:rFonts w:ascii="Tahoma" w:hAnsi="Tahoma" w:cs="Tahoma"/>
      <w:sz w:val="16"/>
      <w:szCs w:val="16"/>
    </w:rPr>
  </w:style>
  <w:style w:type="paragraph" w:styleId="881">
    <w:name w:val="List Paragraph"/>
    <w:basedOn w:val="696"/>
    <w:uiPriority w:val="34"/>
    <w:qFormat/>
    <w:pPr>
      <w:contextualSpacing/>
      <w:ind w:left="720"/>
    </w:pPr>
  </w:style>
  <w:style w:type="table" w:styleId="882">
    <w:name w:val="Table Grid"/>
    <w:basedOn w:val="707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83" w:customStyle="1">
    <w:name w:val="Default"/>
    <w:rPr>
      <w:color w:val="000000"/>
      <w:sz w:val="24"/>
      <w:szCs w:val="24"/>
    </w:rPr>
  </w:style>
  <w:style w:type="paragraph" w:styleId="884">
    <w:name w:val="Body Text"/>
    <w:basedOn w:val="696"/>
    <w:link w:val="885"/>
    <w:rPr>
      <w:rFonts w:eastAsia="Times New Roman"/>
      <w:bCs/>
      <w:sz w:val="32"/>
      <w:szCs w:val="24"/>
    </w:rPr>
  </w:style>
  <w:style w:type="character" w:styleId="885" w:customStyle="1">
    <w:name w:val="Основной текст Знак"/>
    <w:basedOn w:val="706"/>
    <w:link w:val="884"/>
    <w:rPr>
      <w:rFonts w:eastAsia="Times New Roman"/>
      <w:bCs/>
      <w:sz w:val="32"/>
      <w:szCs w:val="24"/>
    </w:rPr>
  </w:style>
  <w:style w:type="character" w:styleId="886">
    <w:name w:val="FollowedHyperlink"/>
    <w:basedOn w:val="706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torgi.gov.ru/new/private/notice/view/658c003e8fb4b74d8e3ca1c8" TargetMode="External"/><Relationship Id="rId11" Type="http://schemas.openxmlformats.org/officeDocument/2006/relationships/hyperlink" Target="mailto:dugsto@gov70.ru" TargetMode="External"/><Relationship Id="rId12" Type="http://schemas.openxmlformats.org/officeDocument/2006/relationships/hyperlink" Target="mailto:fai@gki.tomsk.ru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EBC99-34FD-4B3D-8CC9-9FC9AC7A5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101</cp:revision>
  <dcterms:created xsi:type="dcterms:W3CDTF">2020-10-14T03:11:00Z</dcterms:created>
  <dcterms:modified xsi:type="dcterms:W3CDTF">2023-12-27T10:49:27Z</dcterms:modified>
</cp:coreProperties>
</file>