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ИНФОРМАЦИОННОЕ СООБЩЕНИЕ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spacing w:line="12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23"/>
          <w:szCs w:val="23"/>
        </w:rPr>
      </w:pP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о проведении открытого аукциона в электронной форме по продаже государственного имущества Томской области</w:t>
      </w:r>
      <w:r>
        <w:rPr>
          <w:rFonts w:ascii="PT Astra Serif" w:hAnsi="PT Astra Serif" w:eastAsia="Times New Roman"/>
          <w:b/>
          <w:bCs/>
          <w:sz w:val="23"/>
          <w:szCs w:val="23"/>
        </w:rPr>
      </w:r>
      <w:r>
        <w:rPr>
          <w:rFonts w:ascii="PT Astra Serif" w:hAnsi="PT Astra Serif" w:eastAsia="Times New Roman"/>
          <w:b/>
          <w:bCs/>
          <w:sz w:val="23"/>
          <w:szCs w:val="23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Cs/>
          <w:color w:val="c00000"/>
          <w:sz w:val="24"/>
          <w:szCs w:val="24"/>
          <w:u w:val="single"/>
        </w:rPr>
        <w:t xml:space="preserve">Внимание!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Данное информационное сообщение является публичной офертой для заключения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678"/>
        <w:ind w:right="360"/>
        <w:spacing w:before="0" w:after="0"/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pP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Номер процедуры на сайте РТС-Тендер: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  <w:t xml:space="preserve">№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  <w:t xml:space="preserve">21000022460000000124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r>
    </w:p>
    <w:p>
      <w:pPr>
        <w:pStyle w:val="678"/>
        <w:ind w:right="360"/>
        <w:spacing w:before="0" w:after="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1. Общие сведения о продаже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tbl>
      <w:tblPr>
        <w:tblStyle w:val="879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>
        <w:tblPrEx/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Наименование государственного органа, принявшего решение об условиях приватизации имущества, реквизиты указанного решения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3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органа,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Правительство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Реквизиты решения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об условиях приватизации имущества: распоряжение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Правительства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Томской области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20 августа 2026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№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209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-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р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п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«Об услови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ях приватизации государственного имущества Томской области»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Собственник имущества: Томская область в лице Департамента по управлению государственной собственностью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10" w:tooltip="mailto:dugsto@gov70.ru" w:history="1">
              <w:r>
                <w:rPr>
                  <w:rStyle w:val="87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Style w:val="87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hyperlink r:id="rId11" w:tooltip="mailto:fai@gki.tomsk.ru" w:history="1">
              <w:r>
                <w:rPr>
                  <w:rStyle w:val="871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fai</w:t>
              </w:r>
              <w:r>
                <w:rPr>
                  <w:rStyle w:val="871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dugs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r</w:t>
              </w:r>
              <w:r>
                <w:rPr>
                  <w:rStyle w:val="871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ktn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u,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kes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Организатор торгов -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(www.rts-tender.ru)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121151, г. Москва, набережная Тараса Шевченко, д.23А,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дрес электронной почты: iSupport@rts-tender.ru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.Ф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рунзе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, д. 20, офис 308, телефон: +7 (3822) 98-41-99, адрес электронной почты: a.polyakov@rts-tender.ru, a.malyshev@rts-tender.ru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 и характеристика имущества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Помещение, назначение: нежилое, площадь 25,1 кв. м, этаж №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1, кадастровый номер 70:19:0000001:5365, расположенное по адресу: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Российская Федерация, Томская область,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Колпашевский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муниципальный район,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Колпашевское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городское по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селение,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г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К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олпашево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, ул.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М.Горького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, д. 21/2, помещение 1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 w:val="0"/>
                <w:bCs w:val="0"/>
                <w:sz w:val="24"/>
                <w:szCs w:val="24"/>
              </w:rPr>
              <w:t xml:space="preserve">(</w:t>
            </w:r>
            <w:r>
              <w:rPr>
                <w:rFonts w:ascii="PT Astra Serif" w:hAnsi="PT Astra Serif" w:eastAsia="Times New Roman"/>
                <w:b w:val="0"/>
                <w:bCs w:val="0"/>
                <w:sz w:val="24"/>
                <w:szCs w:val="24"/>
              </w:rPr>
              <w:t xml:space="preserve">да</w:t>
            </w:r>
            <w:r>
              <w:rPr>
                <w:rFonts w:ascii="PT Astra Serif" w:hAnsi="PT Astra Serif" w:eastAsia="Times New Roman"/>
                <w:b w:val="0"/>
                <w:bCs w:val="0"/>
                <w:sz w:val="24"/>
                <w:szCs w:val="24"/>
              </w:rPr>
              <w:t xml:space="preserve">лее - имущество).</w:t>
            </w:r>
            <w:r>
              <w:rPr>
                <w:rFonts w:ascii="PT Astra Serif" w:hAnsi="PT Astra Serif" w:eastAsia="Times New Roman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 w:val="0"/>
                <w:bCs w:val="0"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Способ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Аукцион в электронной форме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307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(триста семь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</w:t>
            </w:r>
            <w:r>
              <w:rPr>
                <w:rFonts w:ascii="PT Astra Serif" w:hAnsi="PT Astra Serif"/>
                <w:b/>
                <w:bCs/>
                <w:sz w:val="24"/>
                <w:szCs w:val="24"/>
                <w:u w:val="single"/>
              </w:rPr>
              <w:t xml:space="preserve">й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u w:val="single"/>
              </w:rPr>
              <w:t xml:space="preserve">00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u w:val="single"/>
              </w:rPr>
              <w:t xml:space="preserve"> копеек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учетом налога на добавленную стоимость (далее – НДС)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Форма подачи предложений о цене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Открытая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Условия и сроки платежа,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30 (тридцати) 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Получатель: ИНН 7017018464, КПП 701701001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1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казначейский счет № 03100643000000016500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pStyle w:val="881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единый казначейский счет № 40102810345370000130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ОКЦ №1 Сибирского ГУ Банка России//УФК по Томской области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1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БИК 045004130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  <w:b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Код бюджетной классификации (КБК):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80111413020020000410.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Победитель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самостоятельно исчисляет и уплачивает НДС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задатка, срок и порядок его внесения,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Размер задатка: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  <w:u w:val="single"/>
              </w:rPr>
              <w:t xml:space="preserve">30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  <w:u w:val="single"/>
              </w:rPr>
              <w:t xml:space="preserve"> 7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  <w:u w:val="single"/>
              </w:rPr>
              <w:t xml:space="preserve">00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(тридцать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тысяч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семьсот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  <w:u w:val="single"/>
              </w:rPr>
              <w:t xml:space="preserve">рублей 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  <w:u w:val="single"/>
              </w:rPr>
              <w:t xml:space="preserve">00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  <w:u w:val="single"/>
              </w:rPr>
              <w:t xml:space="preserve"> копеек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(10% начальной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цены).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Задаток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должен поступить не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позднее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23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09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.202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по следующим реквизитам: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Получатель ООО «РТС-тендер»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highlight w:val="white"/>
                <w:shd w:val="clear" w:color="auto" w:fill="ffffff"/>
              </w:rPr>
              <w:t xml:space="preserve">Филиал «Корпоративный» ПАО «</w:t>
            </w:r>
            <w:r>
              <w:rPr>
                <w:rFonts w:ascii="PT Astra Serif" w:hAnsi="PT Astra Serif" w:cs="Arial"/>
                <w:sz w:val="24"/>
                <w:szCs w:val="24"/>
                <w:highlight w:val="white"/>
                <w:shd w:val="clear" w:color="auto" w:fill="ffffff"/>
              </w:rPr>
              <w:t xml:space="preserve">Совкомбанк</w:t>
            </w:r>
            <w:r>
              <w:rPr>
                <w:rFonts w:ascii="PT Astra Serif" w:hAnsi="PT Astra Serif" w:cs="Arial"/>
                <w:sz w:val="24"/>
                <w:szCs w:val="24"/>
                <w:highlight w:val="white"/>
                <w:shd w:val="clear" w:color="auto" w:fill="ffffff"/>
              </w:rPr>
              <w:t xml:space="preserve">»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highlight w:val="white"/>
                <w:shd w:val="clear" w:color="auto" w:fill="ffffff"/>
              </w:rPr>
              <w:t xml:space="preserve">40702810512030016362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highlight w:val="white"/>
                <w:shd w:val="clear" w:color="auto" w:fill="ffffff"/>
              </w:rPr>
              <w:t xml:space="preserve">30101810445250000360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highlight w:val="white"/>
                <w:shd w:val="clear" w:color="auto" w:fill="ffffff"/>
              </w:rPr>
              <w:t xml:space="preserve">044525360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 ИНН 7710357167, КПП 773001001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№ аналитического счета _________, без НДС.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rPr>
                <w:rFonts w:ascii="PT Astra Serif" w:hAnsi="PT Astra Serif"/>
                <w:b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Документом, подтверждающим поступление задатка на счет,  является выписка с этого счета.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повышения начальной цены  («шаг аукциона»)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white"/>
                <w:u w:val="single"/>
              </w:rPr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  <w:u w:val="single"/>
              </w:rPr>
              <w:t xml:space="preserve">15 350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(пятнадцать тысяч триста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пятьдесят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  <w:u w:val="single"/>
              </w:rPr>
              <w:t xml:space="preserve">рублей 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  <w:u w:val="single"/>
              </w:rPr>
              <w:t xml:space="preserve">00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  <w:u w:val="single"/>
              </w:rPr>
              <w:t xml:space="preserve"> копеек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(5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% начальной</w:t>
            </w:r>
            <w:r>
              <w:rPr>
                <w:rFonts w:ascii="PT Astra Serif" w:hAnsi="PT Astra Serif"/>
                <w:sz w:val="24"/>
                <w:highlight w:val="white"/>
              </w:rPr>
              <w:t xml:space="preserve"> цены).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Порядок, место, даты начала и окончания 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Порядок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</w:rPr>
              <w:t xml:space="preserve">электронная торговая площадк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</w:rPr>
              <w:t xml:space="preserve">а ООО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www.rts-tender.ru.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Одно лицо имеет право подать только одну заявку.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Дата начала подачи заявок: 26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августа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09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часов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Дата окончания подачи заявок: 23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сентября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18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часов 00 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Исчерпывающий перечень представляемых участниками торгов документов и требования к их оформлению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 форме электронных документов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заверенные копии учредительных документов;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содержащий сведения о доле Российской Фе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который подтверждает полномочия руководителя юрид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копию всех листов документа, удостоверяющего личность;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11.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заключения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Не ранее чем через десять дней и не позднее двадцати дней со дня размещения на </w:t>
            </w:r>
            <w:hyperlink r:id="rId12" w:tooltip="http://www.torgi.gov.ru/" w:history="1">
              <w:r>
                <w:rPr>
                  <w:rStyle w:val="871"/>
                  <w:rFonts w:ascii="PT Astra Serif" w:hAnsi="PT Astra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официальном сайте</w:t>
              </w:r>
            </w:hyperlink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в сети «Интернет» </w:t>
            </w:r>
            <w:hyperlink r:id="rId13" w:tooltip="https://www.torgi.gov.гu" w:history="1">
              <w:r>
                <w:rPr>
                  <w:rStyle w:val="871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Style w:val="871"/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протокола об итогах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12.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ознакомления покупателей с иной информацией, условиями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551-712, 551-711, 551-703.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Проект договора купли-продажи имущества содержится в документации об аукционе.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4" w:tooltip="https://www.torgi.gov.гu" w:history="1">
              <w:r>
                <w:rPr>
                  <w:rStyle w:val="871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5" w:tooltip="https://dugs.tomsk.gov.ru/privatizatsija-prodazha-gosudarstvennogo-imuschestva" w:history="1">
              <w:r>
                <w:rPr>
                  <w:rStyle w:val="871"/>
                  <w:rFonts w:ascii="PT Astra Serif" w:hAnsi="PT Astra Serif" w:eastAsia="Times New Roman"/>
                  <w:sz w:val="24"/>
                  <w:szCs w:val="24"/>
                </w:rPr>
                <w:t xml:space="preserve">https://dugs.tomsk.gov.ru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13.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 исключением: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государственных и муниципальных унитарных предприятий, государственных и муниципальных учреждений;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бенефициарных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Федерации;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Понятие «контролирующее лицо» используется в том же значении, что и в ста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14.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День определения участников 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25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сентября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Продавец рассматривает заявки и документы пре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определения победителя аукциона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заявляются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отказа лица, признанного единственным участником аукциона, от заключения договора аукцион признается несостоявшимся.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и срок подведения итогов продажи государственного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подведения итогов: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br/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  www.rts-tender.ru.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подведения итогов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: 28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сентября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ча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сов 00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Торги по продаже государственного имущества, назначенные на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15.05.2025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26.11.2025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15.01.2026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не состоялись по причине отсутствия заявок.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  <w:p>
            <w:pPr>
              <w:jc w:val="both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Торги по продаже государственного имущества, назначенные на 19.02.2026, были отменены организатором в связи с истечением срока приватизации. </w:t>
            </w: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</w:p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 установлении публичного сервитута и (или) иных ограничений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отсутствуют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</w:tbl>
    <w:p>
      <w:pPr>
        <w:jc w:val="center"/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shd w:val="nil" w:color="auto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br w:type="page" w:clear="all"/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2. Общие положения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с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27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Федеральным законом от 21 декабря 2001 года № 178-ФЗ «О приватизации государственного и муниципального имущества»;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0"/>
        <w:jc w:val="both"/>
        <w:tabs>
          <w:tab w:val="left" w:pos="840" w:leader="none"/>
          <w:tab w:val="left" w:pos="2740" w:leader="none"/>
          <w:tab w:val="left" w:pos="4500" w:leader="none"/>
          <w:tab w:val="left" w:pos="5940" w:leader="none"/>
          <w:tab w:val="left" w:pos="7320" w:leader="none"/>
          <w:tab w:val="left" w:pos="7800" w:leader="none"/>
          <w:tab w:val="left" w:pos="8280" w:leader="none"/>
          <w:tab w:val="left" w:pos="9280" w:leader="none"/>
          <w:tab w:val="left" w:pos="1000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- постановлением Правительства Российской Федерации от 27.08.2012</w:t>
      </w:r>
      <w:r>
        <w:rPr>
          <w:rFonts w:ascii="PT Astra Serif" w:hAnsi="PT Astra Serif" w:eastAsia="Times New Roman"/>
          <w:sz w:val="23"/>
          <w:szCs w:val="23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860 «Об организации и проведении продажи государственного и муниципального имущества в электронной форме»;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567"/>
        <w:jc w:val="both"/>
        <w:spacing w:line="230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Законом Томской области от 12 июля 2018 года № 80-ОЗ «О приватизации государственного имущества Томской области»;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7"/>
        <w:jc w:val="both"/>
        <w:spacing w:line="234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постановлением Законодательной Думы Томской области от 30.10.2025 № 1979 «О прогнозном плане (программе) приватизации государственного имущества Томской области на плановый период 2026-2028 годов».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left="56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регистрации на электронной площадке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ind w:firstLine="567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 xml:space="preserve">Для обеспечения доступа</w:t>
      </w:r>
      <w:r>
        <w:rPr>
          <w:rFonts w:ascii="PT Astra Serif" w:hAnsi="PT Astra Serif" w:eastAsia="Times New Roman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проводится в соответствии с Регламентом электронной площадки.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hAnsi="PT Astra Serif" w:eastAsia="Times New Roman"/>
          <w:sz w:val="24"/>
          <w:szCs w:val="24"/>
        </w:rPr>
        <w:t xml:space="preserve">для оформления участия в электронном аукционе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</w:t>
      </w:r>
      <w:r>
        <w:rPr>
          <w:rFonts w:ascii="PT Astra Serif" w:hAnsi="PT Astra Serif" w:eastAsia="Times New Roman"/>
          <w:sz w:val="24"/>
          <w:szCs w:val="24"/>
        </w:rPr>
        <w:t xml:space="preserve">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указан</w:t>
      </w:r>
      <w:r>
        <w:rPr>
          <w:rFonts w:ascii="PT Astra Serif" w:hAnsi="PT Astra Serif" w:eastAsia="Times New Roman"/>
          <w:sz w:val="24"/>
          <w:szCs w:val="24"/>
        </w:rPr>
        <w:t xml:space="preserve"> в данном информационном сообщении. 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left="560" w:firstLine="149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Одно лицо имеет право подать только одну заявку на участие в электронном аукционе.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При приеме заявок от Претендентов электронная площадка обеспечивает регистрацию заяво</w:t>
      </w:r>
      <w:r>
        <w:rPr>
          <w:rFonts w:ascii="PT Astra Serif" w:hAnsi="PT Astra Serif" w:eastAsia="Times New Roman"/>
          <w:sz w:val="24"/>
          <w:szCs w:val="24"/>
        </w:rPr>
        <w:t xml:space="preserve">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r>
        <w:rPr>
          <w:rFonts w:ascii="PT Astra Serif" w:hAnsi="PT Astra Serif" w:eastAsia="Times New Roman"/>
          <w:sz w:val="24"/>
          <w:szCs w:val="24"/>
        </w:rPr>
        <w:t xml:space="preserve">уведомления</w:t>
      </w:r>
      <w:r>
        <w:rPr>
          <w:rFonts w:ascii="PT Astra Serif" w:hAnsi="PT Astra Serif"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tabs>
          <w:tab w:val="left" w:pos="76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8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Для участия в аукционе Претенден</w:t>
      </w:r>
      <w:r>
        <w:rPr>
          <w:rFonts w:ascii="PT Astra Serif" w:hAnsi="PT Astra Serif" w:eastAsia="Times New Roman"/>
          <w:sz w:val="24"/>
          <w:szCs w:val="24"/>
        </w:rPr>
        <w:t xml:space="preserve">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</w:t>
      </w:r>
      <w:r>
        <w:rPr>
          <w:rFonts w:ascii="PT Astra Serif" w:hAnsi="PT Astra Serif" w:eastAsia="Times New Roman"/>
          <w:sz w:val="24"/>
          <w:szCs w:val="24"/>
        </w:rPr>
        <w:t xml:space="preserve">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709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для участия в про</w:t>
      </w:r>
      <w:r>
        <w:rPr>
          <w:rFonts w:ascii="PT Astra Serif" w:hAnsi="PT Astra Serif" w:eastAsia="Times New Roman"/>
          <w:sz w:val="24"/>
          <w:szCs w:val="24"/>
        </w:rPr>
        <w:t xml:space="preserve">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r>
        <w:rPr>
          <w:rFonts w:ascii="PT Astra Serif" w:hAnsi="PT Astra Serif" w:eastAsia="Times New Roman"/>
          <w:sz w:val="24"/>
          <w:szCs w:val="24"/>
        </w:rPr>
        <w:t xml:space="preserve">с даты подведения</w:t>
      </w:r>
      <w:r>
        <w:rPr>
          <w:rFonts w:ascii="PT Astra Serif" w:hAnsi="PT Astra Serif" w:eastAsia="Times New Roman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r>
        <w:rPr>
          <w:rFonts w:ascii="PT Astra Serif" w:hAnsi="PT Astra Serif" w:cs="PT Astra Serif"/>
          <w:sz w:val="24"/>
          <w:szCs w:val="24"/>
        </w:rPr>
        <w:t xml:space="preserve">возвращается</w:t>
      </w:r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данным информационным сообщением.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jc w:val="both"/>
        <w:spacing w:line="2" w:lineRule="exac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не допускается к участию в аукционе по следующим основаниям: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22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представленные документы не подтверждают право претендента быть покупателем в соответствии с законодательством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6" w:lineRule="auto"/>
        <w:tabs>
          <w:tab w:val="left" w:pos="85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3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заявка на участие в аукционе подана лицом, не уполномоченным претендентом на осуществление таких действий;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jc w:val="both"/>
        <w:spacing w:line="13" w:lineRule="exact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12" w:leader="none"/>
        </w:tabs>
        <w:rPr>
          <w:rFonts w:ascii="PT Astra Serif" w:hAnsi="PT Astra Serif" w:eastAsia="Arial" w:cs="Arial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не подтверждено поступление в установленный срок задатка на счет, указанный в информационном сообщении.</w:t>
      </w:r>
      <w:r>
        <w:rPr>
          <w:rFonts w:ascii="PT Astra Serif" w:hAnsi="PT Astra Serif" w:eastAsia="Arial" w:cs="Arial"/>
          <w:sz w:val="20"/>
          <w:szCs w:val="20"/>
        </w:rPr>
      </w:r>
      <w:r>
        <w:rPr>
          <w:rFonts w:ascii="PT Astra Serif" w:hAnsi="PT Astra Serif" w:eastAsia="Arial" w:cs="Arial"/>
          <w:sz w:val="20"/>
          <w:szCs w:val="20"/>
        </w:rPr>
      </w:r>
    </w:p>
    <w:p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40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Ход проведения процедуры аукциона фиксируется электронной площадкой в электронном журнале.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Процедура аукциона считается завершенной со времени подписания организатором аукциона протокола об итогах аукциона.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sectPr>
      <w:footnotePr/>
      <w:endnotePr/>
      <w:type w:val="nextPage"/>
      <w:pgSz w:w="11900" w:h="16838" w:orient="portrait"/>
      <w:pgMar w:top="568" w:right="726" w:bottom="567" w:left="720" w:header="0" w:footer="0" w:gutter="0"/>
      <w:cols w:num="1" w:sep="0"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и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В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с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29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№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EastAsia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7" w:default="1">
    <w:name w:val="Normal"/>
    <w:qFormat/>
  </w:style>
  <w:style w:type="paragraph" w:styleId="678">
    <w:name w:val="Heading 1"/>
    <w:basedOn w:val="677"/>
    <w:next w:val="677"/>
    <w:link w:val="70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9">
    <w:name w:val="Heading 2"/>
    <w:basedOn w:val="677"/>
    <w:next w:val="677"/>
    <w:link w:val="70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0">
    <w:name w:val="Heading 3"/>
    <w:basedOn w:val="677"/>
    <w:next w:val="677"/>
    <w:link w:val="70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1">
    <w:name w:val="Heading 4"/>
    <w:basedOn w:val="677"/>
    <w:next w:val="677"/>
    <w:link w:val="70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2">
    <w:name w:val="Heading 5"/>
    <w:basedOn w:val="677"/>
    <w:next w:val="677"/>
    <w:link w:val="71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677"/>
    <w:next w:val="677"/>
    <w:link w:val="71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84">
    <w:name w:val="Heading 7"/>
    <w:basedOn w:val="677"/>
    <w:next w:val="677"/>
    <w:link w:val="71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685">
    <w:name w:val="Heading 8"/>
    <w:basedOn w:val="677"/>
    <w:next w:val="677"/>
    <w:link w:val="71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686">
    <w:name w:val="Heading 9"/>
    <w:basedOn w:val="677"/>
    <w:next w:val="677"/>
    <w:link w:val="71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7" w:default="1">
    <w:name w:val="Default Paragraph Font"/>
    <w:uiPriority w:val="1"/>
    <w:semiHidden/>
    <w:unhideWhenUsed/>
  </w:style>
  <w:style w:type="table" w:styleId="6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9" w:default="1">
    <w:name w:val="No List"/>
    <w:uiPriority w:val="99"/>
    <w:semiHidden/>
    <w:unhideWhenUsed/>
  </w:style>
  <w:style w:type="character" w:styleId="690" w:customStyle="1">
    <w:name w:val="Heading 1 Char"/>
    <w:basedOn w:val="687"/>
    <w:uiPriority w:val="9"/>
    <w:rPr>
      <w:rFonts w:ascii="Arial" w:hAnsi="Arial" w:eastAsia="Arial" w:cs="Arial"/>
      <w:sz w:val="40"/>
      <w:szCs w:val="40"/>
    </w:rPr>
  </w:style>
  <w:style w:type="character" w:styleId="691" w:customStyle="1">
    <w:name w:val="Heading 2 Char"/>
    <w:basedOn w:val="687"/>
    <w:uiPriority w:val="9"/>
    <w:rPr>
      <w:rFonts w:ascii="Arial" w:hAnsi="Arial" w:eastAsia="Arial" w:cs="Arial"/>
      <w:sz w:val="34"/>
    </w:rPr>
  </w:style>
  <w:style w:type="character" w:styleId="692" w:customStyle="1">
    <w:name w:val="Heading 3 Char"/>
    <w:basedOn w:val="687"/>
    <w:uiPriority w:val="9"/>
    <w:rPr>
      <w:rFonts w:ascii="Arial" w:hAnsi="Arial" w:eastAsia="Arial" w:cs="Arial"/>
      <w:sz w:val="30"/>
      <w:szCs w:val="30"/>
    </w:rPr>
  </w:style>
  <w:style w:type="character" w:styleId="693" w:customStyle="1">
    <w:name w:val="Heading 4 Char"/>
    <w:basedOn w:val="687"/>
    <w:uiPriority w:val="9"/>
    <w:rPr>
      <w:rFonts w:ascii="Arial" w:hAnsi="Arial" w:eastAsia="Arial" w:cs="Arial"/>
      <w:b/>
      <w:bCs/>
      <w:sz w:val="26"/>
      <w:szCs w:val="26"/>
    </w:rPr>
  </w:style>
  <w:style w:type="character" w:styleId="694" w:customStyle="1">
    <w:name w:val="Heading 5 Char"/>
    <w:basedOn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95" w:customStyle="1">
    <w:name w:val="Heading 6 Char"/>
    <w:basedOn w:val="687"/>
    <w:uiPriority w:val="9"/>
    <w:rPr>
      <w:rFonts w:ascii="Arial" w:hAnsi="Arial" w:eastAsia="Arial" w:cs="Arial"/>
      <w:b/>
      <w:bCs/>
      <w:sz w:val="22"/>
      <w:szCs w:val="22"/>
    </w:rPr>
  </w:style>
  <w:style w:type="character" w:styleId="696" w:customStyle="1">
    <w:name w:val="Heading 7 Char"/>
    <w:basedOn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7" w:customStyle="1">
    <w:name w:val="Heading 8 Char"/>
    <w:basedOn w:val="687"/>
    <w:uiPriority w:val="9"/>
    <w:rPr>
      <w:rFonts w:ascii="Arial" w:hAnsi="Arial" w:eastAsia="Arial" w:cs="Arial"/>
      <w:i/>
      <w:iCs/>
      <w:sz w:val="22"/>
      <w:szCs w:val="22"/>
    </w:rPr>
  </w:style>
  <w:style w:type="character" w:styleId="698" w:customStyle="1">
    <w:name w:val="Heading 9 Char"/>
    <w:basedOn w:val="687"/>
    <w:uiPriority w:val="9"/>
    <w:rPr>
      <w:rFonts w:ascii="Arial" w:hAnsi="Arial" w:eastAsia="Arial" w:cs="Arial"/>
      <w:i/>
      <w:iCs/>
      <w:sz w:val="21"/>
      <w:szCs w:val="21"/>
    </w:rPr>
  </w:style>
  <w:style w:type="character" w:styleId="699" w:customStyle="1">
    <w:name w:val="Title Char"/>
    <w:basedOn w:val="687"/>
    <w:uiPriority w:val="10"/>
    <w:rPr>
      <w:sz w:val="48"/>
      <w:szCs w:val="48"/>
    </w:rPr>
  </w:style>
  <w:style w:type="character" w:styleId="700" w:customStyle="1">
    <w:name w:val="Subtitle Char"/>
    <w:basedOn w:val="687"/>
    <w:uiPriority w:val="11"/>
    <w:rPr>
      <w:sz w:val="24"/>
      <w:szCs w:val="24"/>
    </w:rPr>
  </w:style>
  <w:style w:type="character" w:styleId="701" w:customStyle="1">
    <w:name w:val="Quote Char"/>
    <w:uiPriority w:val="29"/>
    <w:rPr>
      <w:i/>
    </w:rPr>
  </w:style>
  <w:style w:type="character" w:styleId="702" w:customStyle="1">
    <w:name w:val="Intense Quote Char"/>
    <w:uiPriority w:val="30"/>
    <w:rPr>
      <w:i/>
    </w:rPr>
  </w:style>
  <w:style w:type="character" w:styleId="703" w:customStyle="1">
    <w:name w:val="Caption Char"/>
    <w:uiPriority w:val="99"/>
  </w:style>
  <w:style w:type="character" w:styleId="704" w:customStyle="1">
    <w:name w:val="Footnote Text Char"/>
    <w:uiPriority w:val="99"/>
    <w:rPr>
      <w:sz w:val="18"/>
    </w:rPr>
  </w:style>
  <w:style w:type="character" w:styleId="705" w:customStyle="1">
    <w:name w:val="Endnote Text Char"/>
    <w:uiPriority w:val="99"/>
    <w:rPr>
      <w:sz w:val="20"/>
    </w:rPr>
  </w:style>
  <w:style w:type="character" w:styleId="706" w:customStyle="1">
    <w:name w:val="Заголовок 1 Знак"/>
    <w:basedOn w:val="687"/>
    <w:link w:val="678"/>
    <w:uiPriority w:val="9"/>
    <w:rPr>
      <w:rFonts w:ascii="Arial" w:hAnsi="Arial" w:eastAsia="Arial" w:cs="Arial"/>
      <w:sz w:val="40"/>
      <w:szCs w:val="40"/>
    </w:rPr>
  </w:style>
  <w:style w:type="character" w:styleId="707" w:customStyle="1">
    <w:name w:val="Заголовок 2 Знак"/>
    <w:basedOn w:val="687"/>
    <w:link w:val="679"/>
    <w:uiPriority w:val="9"/>
    <w:rPr>
      <w:rFonts w:ascii="Arial" w:hAnsi="Arial" w:eastAsia="Arial" w:cs="Arial"/>
      <w:sz w:val="34"/>
    </w:rPr>
  </w:style>
  <w:style w:type="character" w:styleId="708" w:customStyle="1">
    <w:name w:val="Заголовок 3 Знак"/>
    <w:basedOn w:val="687"/>
    <w:link w:val="680"/>
    <w:uiPriority w:val="9"/>
    <w:rPr>
      <w:rFonts w:ascii="Arial" w:hAnsi="Arial" w:eastAsia="Arial" w:cs="Arial"/>
      <w:sz w:val="30"/>
      <w:szCs w:val="30"/>
    </w:rPr>
  </w:style>
  <w:style w:type="character" w:styleId="709" w:customStyle="1">
    <w:name w:val="Заголовок 4 Знак"/>
    <w:basedOn w:val="687"/>
    <w:link w:val="681"/>
    <w:uiPriority w:val="9"/>
    <w:rPr>
      <w:rFonts w:ascii="Arial" w:hAnsi="Arial" w:eastAsia="Arial" w:cs="Arial"/>
      <w:b/>
      <w:bCs/>
      <w:sz w:val="26"/>
      <w:szCs w:val="26"/>
    </w:rPr>
  </w:style>
  <w:style w:type="character" w:styleId="710" w:customStyle="1">
    <w:name w:val="Заголовок 5 Знак"/>
    <w:basedOn w:val="687"/>
    <w:link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711" w:customStyle="1">
    <w:name w:val="Заголовок 6 Знак"/>
    <w:basedOn w:val="687"/>
    <w:link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712" w:customStyle="1">
    <w:name w:val="Заголовок 7 Знак"/>
    <w:basedOn w:val="687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3" w:customStyle="1">
    <w:name w:val="Заголовок 8 Знак"/>
    <w:basedOn w:val="687"/>
    <w:link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714" w:customStyle="1">
    <w:name w:val="Заголовок 9 Знак"/>
    <w:basedOn w:val="687"/>
    <w:link w:val="686"/>
    <w:uiPriority w:val="9"/>
    <w:rPr>
      <w:rFonts w:ascii="Arial" w:hAnsi="Arial" w:eastAsia="Arial" w:cs="Arial"/>
      <w:i/>
      <w:iCs/>
      <w:sz w:val="21"/>
      <w:szCs w:val="21"/>
    </w:rPr>
  </w:style>
  <w:style w:type="paragraph" w:styleId="715">
    <w:name w:val="No Spacing"/>
    <w:uiPriority w:val="1"/>
    <w:qFormat/>
  </w:style>
  <w:style w:type="paragraph" w:styleId="716">
    <w:name w:val="Title"/>
    <w:basedOn w:val="677"/>
    <w:next w:val="677"/>
    <w:link w:val="71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7" w:customStyle="1">
    <w:name w:val="Название Знак"/>
    <w:basedOn w:val="687"/>
    <w:link w:val="716"/>
    <w:uiPriority w:val="10"/>
    <w:rPr>
      <w:sz w:val="48"/>
      <w:szCs w:val="48"/>
    </w:rPr>
  </w:style>
  <w:style w:type="paragraph" w:styleId="718">
    <w:name w:val="Subtitle"/>
    <w:basedOn w:val="677"/>
    <w:next w:val="677"/>
    <w:link w:val="719"/>
    <w:uiPriority w:val="11"/>
    <w:qFormat/>
    <w:pPr>
      <w:spacing w:before="200" w:after="200"/>
    </w:pPr>
    <w:rPr>
      <w:sz w:val="24"/>
      <w:szCs w:val="24"/>
    </w:rPr>
  </w:style>
  <w:style w:type="character" w:styleId="719" w:customStyle="1">
    <w:name w:val="Подзаголовок Знак"/>
    <w:basedOn w:val="687"/>
    <w:link w:val="718"/>
    <w:uiPriority w:val="11"/>
    <w:rPr>
      <w:sz w:val="24"/>
      <w:szCs w:val="24"/>
    </w:rPr>
  </w:style>
  <w:style w:type="paragraph" w:styleId="720">
    <w:name w:val="Quote"/>
    <w:basedOn w:val="677"/>
    <w:next w:val="677"/>
    <w:link w:val="721"/>
    <w:uiPriority w:val="29"/>
    <w:qFormat/>
    <w:pPr>
      <w:ind w:left="720" w:right="720"/>
    </w:pPr>
    <w:rPr>
      <w:i/>
    </w:rPr>
  </w:style>
  <w:style w:type="character" w:styleId="721" w:customStyle="1">
    <w:name w:val="Цитата 2 Знак"/>
    <w:link w:val="720"/>
    <w:uiPriority w:val="29"/>
    <w:rPr>
      <w:i/>
    </w:rPr>
  </w:style>
  <w:style w:type="paragraph" w:styleId="722">
    <w:name w:val="Intense Quote"/>
    <w:basedOn w:val="677"/>
    <w:next w:val="677"/>
    <w:link w:val="72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3" w:customStyle="1">
    <w:name w:val="Выделенная цитата Знак"/>
    <w:link w:val="722"/>
    <w:uiPriority w:val="30"/>
    <w:rPr>
      <w:i/>
    </w:rPr>
  </w:style>
  <w:style w:type="character" w:styleId="724" w:customStyle="1">
    <w:name w:val="Header Char"/>
    <w:basedOn w:val="687"/>
    <w:uiPriority w:val="99"/>
  </w:style>
  <w:style w:type="paragraph" w:styleId="725">
    <w:name w:val="Footer"/>
    <w:basedOn w:val="677"/>
    <w:link w:val="72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6" w:customStyle="1">
    <w:name w:val="Footer Char"/>
    <w:basedOn w:val="687"/>
    <w:uiPriority w:val="99"/>
  </w:style>
  <w:style w:type="paragraph" w:styleId="727">
    <w:name w:val="Caption"/>
    <w:basedOn w:val="677"/>
    <w:next w:val="677"/>
    <w:link w:val="70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8" w:customStyle="1">
    <w:name w:val="Нижний колонтитул Знак"/>
    <w:link w:val="725"/>
    <w:uiPriority w:val="99"/>
  </w:style>
  <w:style w:type="table" w:styleId="729" w:customStyle="1">
    <w:name w:val="Table Grid Light"/>
    <w:basedOn w:val="68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0" w:customStyle="1">
    <w:name w:val="Plain Table 1"/>
    <w:basedOn w:val="68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 w:customStyle="1">
    <w:name w:val="Plain Table 2"/>
    <w:basedOn w:val="68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 w:customStyle="1">
    <w:name w:val="Plain Table 3"/>
    <w:basedOn w:val="6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 w:customStyle="1">
    <w:name w:val="Plain Table 4"/>
    <w:basedOn w:val="6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Plain Table 5"/>
    <w:basedOn w:val="6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1 Light"/>
    <w:basedOn w:val="68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1"/>
    <w:basedOn w:val="68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2"/>
    <w:basedOn w:val="68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3"/>
    <w:basedOn w:val="68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4"/>
    <w:basedOn w:val="68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5"/>
    <w:basedOn w:val="68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6"/>
    <w:basedOn w:val="68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2"/>
    <w:basedOn w:val="68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1"/>
    <w:basedOn w:val="68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2"/>
    <w:basedOn w:val="68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3"/>
    <w:basedOn w:val="68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4"/>
    <w:basedOn w:val="68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5"/>
    <w:basedOn w:val="68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6"/>
    <w:basedOn w:val="68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"/>
    <w:basedOn w:val="68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1"/>
    <w:basedOn w:val="68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2"/>
    <w:basedOn w:val="68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3"/>
    <w:basedOn w:val="68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4"/>
    <w:basedOn w:val="68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5"/>
    <w:basedOn w:val="68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6"/>
    <w:basedOn w:val="68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4"/>
    <w:basedOn w:val="68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7" w:customStyle="1">
    <w:name w:val="Grid Table 4 - Accent 1"/>
    <w:basedOn w:val="68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8" w:customStyle="1">
    <w:name w:val="Grid Table 4 - Accent 2"/>
    <w:basedOn w:val="68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9" w:customStyle="1">
    <w:name w:val="Grid Table 4 - Accent 3"/>
    <w:basedOn w:val="68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0" w:customStyle="1">
    <w:name w:val="Grid Table 4 - Accent 4"/>
    <w:basedOn w:val="68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1" w:customStyle="1">
    <w:name w:val="Grid Table 4 - Accent 5"/>
    <w:basedOn w:val="68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2" w:customStyle="1">
    <w:name w:val="Grid Table 4 - Accent 6"/>
    <w:basedOn w:val="68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3" w:customStyle="1">
    <w:name w:val="Grid Table 5 Dark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- Accent 1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2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3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- Accent 4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5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6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6 Colorful"/>
    <w:basedOn w:val="68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1" w:customStyle="1">
    <w:name w:val="Grid Table 6 Colorful - Accent 1"/>
    <w:basedOn w:val="68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2" w:customStyle="1">
    <w:name w:val="Grid Table 6 Colorful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3" w:customStyle="1">
    <w:name w:val="Grid Table 6 Colorful - Accent 3"/>
    <w:basedOn w:val="68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4" w:customStyle="1">
    <w:name w:val="Grid Table 6 Colorful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5" w:customStyle="1">
    <w:name w:val="Grid Table 6 Colorful - Accent 5"/>
    <w:basedOn w:val="68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6" w:customStyle="1">
    <w:name w:val="Grid Table 6 Colorful - Accent 6"/>
    <w:basedOn w:val="68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7" w:customStyle="1">
    <w:name w:val="Grid Table 7 Colorful"/>
    <w:basedOn w:val="68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7 Colorful - Accent 1"/>
    <w:basedOn w:val="68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7 Colorful - Accent 2"/>
    <w:basedOn w:val="68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7 Colorful - Accent 3"/>
    <w:basedOn w:val="68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7 Colorful - Accent 4"/>
    <w:basedOn w:val="68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5"/>
    <w:basedOn w:val="68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7 Colorful - Accent 6"/>
    <w:basedOn w:val="68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"/>
    <w:basedOn w:val="68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1"/>
    <w:basedOn w:val="68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2"/>
    <w:basedOn w:val="68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3"/>
    <w:basedOn w:val="68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4"/>
    <w:basedOn w:val="68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5"/>
    <w:basedOn w:val="68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6"/>
    <w:basedOn w:val="68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2"/>
    <w:basedOn w:val="68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1"/>
    <w:basedOn w:val="68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2"/>
    <w:basedOn w:val="68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3"/>
    <w:basedOn w:val="68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4"/>
    <w:basedOn w:val="68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5"/>
    <w:basedOn w:val="68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6"/>
    <w:basedOn w:val="68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8" w:customStyle="1">
    <w:name w:val="List Table 3"/>
    <w:basedOn w:val="68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1"/>
    <w:basedOn w:val="68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3"/>
    <w:basedOn w:val="68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5"/>
    <w:basedOn w:val="68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6"/>
    <w:basedOn w:val="68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"/>
    <w:basedOn w:val="68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1"/>
    <w:basedOn w:val="68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2"/>
    <w:basedOn w:val="68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3"/>
    <w:basedOn w:val="68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4"/>
    <w:basedOn w:val="68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5"/>
    <w:basedOn w:val="68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6"/>
    <w:basedOn w:val="68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5 Dark"/>
    <w:basedOn w:val="68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1"/>
    <w:basedOn w:val="68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3"/>
    <w:basedOn w:val="68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5"/>
    <w:basedOn w:val="68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6"/>
    <w:basedOn w:val="68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6 Colorful"/>
    <w:basedOn w:val="68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0" w:customStyle="1">
    <w:name w:val="List Table 6 Colorful - Accent 1"/>
    <w:basedOn w:val="68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1" w:customStyle="1">
    <w:name w:val="List Table 6 Colorful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2" w:customStyle="1">
    <w:name w:val="List Table 6 Colorful - Accent 3"/>
    <w:basedOn w:val="68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3" w:customStyle="1">
    <w:name w:val="List Table 6 Colorful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4" w:customStyle="1">
    <w:name w:val="List Table 6 Colorful - Accent 5"/>
    <w:basedOn w:val="68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5" w:customStyle="1">
    <w:name w:val="List Table 6 Colorful - Accent 6"/>
    <w:basedOn w:val="68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6" w:customStyle="1">
    <w:name w:val="List Table 7 Colorful"/>
    <w:basedOn w:val="68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7 Colorful - Accent 1"/>
    <w:basedOn w:val="68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7 Colorful - Accent 2"/>
    <w:basedOn w:val="68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7 Colorful - Accent 3"/>
    <w:basedOn w:val="68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7 Colorful - Accent 4"/>
    <w:basedOn w:val="68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5"/>
    <w:basedOn w:val="68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7 Colorful - Accent 6"/>
    <w:basedOn w:val="68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ned - Accent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Lined - Accent 1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Lined - Accent 2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Lined - Accent 3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Lined - Accent 4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Lined - Accent 5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Lined - Accent 6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 &amp; Lined - Accent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1" w:customStyle="1">
    <w:name w:val="Bordered &amp; Lined - Accent 1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2" w:customStyle="1">
    <w:name w:val="Bordered &amp; Lined - Accent 2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3" w:customStyle="1">
    <w:name w:val="Bordered &amp; Lined - Accent 3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4" w:customStyle="1">
    <w:name w:val="Bordered &amp; Lined - Accent 4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5" w:customStyle="1">
    <w:name w:val="Bordered &amp; Lined - Accent 5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6" w:customStyle="1">
    <w:name w:val="Bordered &amp; Lined - Accent 6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7" w:customStyle="1">
    <w:name w:val="Bordered"/>
    <w:basedOn w:val="68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8" w:customStyle="1">
    <w:name w:val="Bordered - Accent 1"/>
    <w:basedOn w:val="68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9" w:customStyle="1">
    <w:name w:val="Bordered - Accent 2"/>
    <w:basedOn w:val="68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0" w:customStyle="1">
    <w:name w:val="Bordered - Accent 3"/>
    <w:basedOn w:val="68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1" w:customStyle="1">
    <w:name w:val="Bordered - Accent 4"/>
    <w:basedOn w:val="68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2" w:customStyle="1">
    <w:name w:val="Bordered - Accent 5"/>
    <w:basedOn w:val="68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3" w:customStyle="1">
    <w:name w:val="Bordered - Accent 6"/>
    <w:basedOn w:val="68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4">
    <w:name w:val="footnote text"/>
    <w:basedOn w:val="677"/>
    <w:link w:val="855"/>
    <w:uiPriority w:val="99"/>
    <w:semiHidden/>
    <w:unhideWhenUsed/>
    <w:pPr>
      <w:spacing w:after="40"/>
    </w:pPr>
    <w:rPr>
      <w:sz w:val="18"/>
    </w:rPr>
  </w:style>
  <w:style w:type="character" w:styleId="855" w:customStyle="1">
    <w:name w:val="Текст сноски Знак"/>
    <w:link w:val="854"/>
    <w:uiPriority w:val="99"/>
    <w:rPr>
      <w:sz w:val="18"/>
    </w:rPr>
  </w:style>
  <w:style w:type="character" w:styleId="856">
    <w:name w:val="footnote reference"/>
    <w:basedOn w:val="687"/>
    <w:uiPriority w:val="99"/>
    <w:unhideWhenUsed/>
    <w:rPr>
      <w:vertAlign w:val="superscript"/>
    </w:rPr>
  </w:style>
  <w:style w:type="paragraph" w:styleId="857">
    <w:name w:val="endnote text"/>
    <w:basedOn w:val="677"/>
    <w:link w:val="858"/>
    <w:uiPriority w:val="99"/>
    <w:semiHidden/>
    <w:unhideWhenUsed/>
    <w:rPr>
      <w:sz w:val="20"/>
    </w:rPr>
  </w:style>
  <w:style w:type="character" w:styleId="858" w:customStyle="1">
    <w:name w:val="Текст концевой сноски Знак"/>
    <w:link w:val="857"/>
    <w:uiPriority w:val="99"/>
    <w:rPr>
      <w:sz w:val="20"/>
    </w:rPr>
  </w:style>
  <w:style w:type="character" w:styleId="859">
    <w:name w:val="endnote reference"/>
    <w:basedOn w:val="687"/>
    <w:uiPriority w:val="99"/>
    <w:semiHidden/>
    <w:unhideWhenUsed/>
    <w:rPr>
      <w:vertAlign w:val="superscript"/>
    </w:rPr>
  </w:style>
  <w:style w:type="paragraph" w:styleId="860">
    <w:name w:val="toc 1"/>
    <w:basedOn w:val="677"/>
    <w:next w:val="677"/>
    <w:uiPriority w:val="39"/>
    <w:unhideWhenUsed/>
    <w:pPr>
      <w:spacing w:after="57"/>
    </w:pPr>
  </w:style>
  <w:style w:type="paragraph" w:styleId="861">
    <w:name w:val="toc 2"/>
    <w:basedOn w:val="677"/>
    <w:next w:val="677"/>
    <w:uiPriority w:val="39"/>
    <w:unhideWhenUsed/>
    <w:pPr>
      <w:ind w:left="283"/>
      <w:spacing w:after="57"/>
    </w:pPr>
  </w:style>
  <w:style w:type="paragraph" w:styleId="862">
    <w:name w:val="toc 3"/>
    <w:basedOn w:val="677"/>
    <w:next w:val="677"/>
    <w:uiPriority w:val="39"/>
    <w:unhideWhenUsed/>
    <w:pPr>
      <w:ind w:left="567"/>
      <w:spacing w:after="57"/>
    </w:pPr>
  </w:style>
  <w:style w:type="paragraph" w:styleId="863">
    <w:name w:val="toc 4"/>
    <w:basedOn w:val="677"/>
    <w:next w:val="677"/>
    <w:uiPriority w:val="39"/>
    <w:unhideWhenUsed/>
    <w:pPr>
      <w:ind w:left="850"/>
      <w:spacing w:after="57"/>
    </w:pPr>
  </w:style>
  <w:style w:type="paragraph" w:styleId="864">
    <w:name w:val="toc 5"/>
    <w:basedOn w:val="677"/>
    <w:next w:val="677"/>
    <w:uiPriority w:val="39"/>
    <w:unhideWhenUsed/>
    <w:pPr>
      <w:ind w:left="1134"/>
      <w:spacing w:after="57"/>
    </w:pPr>
  </w:style>
  <w:style w:type="paragraph" w:styleId="865">
    <w:name w:val="toc 6"/>
    <w:basedOn w:val="677"/>
    <w:next w:val="677"/>
    <w:uiPriority w:val="39"/>
    <w:unhideWhenUsed/>
    <w:pPr>
      <w:ind w:left="1417"/>
      <w:spacing w:after="57"/>
    </w:pPr>
  </w:style>
  <w:style w:type="paragraph" w:styleId="866">
    <w:name w:val="toc 7"/>
    <w:basedOn w:val="677"/>
    <w:next w:val="677"/>
    <w:uiPriority w:val="39"/>
    <w:unhideWhenUsed/>
    <w:pPr>
      <w:ind w:left="1701"/>
      <w:spacing w:after="57"/>
    </w:pPr>
  </w:style>
  <w:style w:type="paragraph" w:styleId="867">
    <w:name w:val="toc 8"/>
    <w:basedOn w:val="677"/>
    <w:next w:val="677"/>
    <w:uiPriority w:val="39"/>
    <w:unhideWhenUsed/>
    <w:pPr>
      <w:ind w:left="1984"/>
      <w:spacing w:after="57"/>
    </w:pPr>
  </w:style>
  <w:style w:type="paragraph" w:styleId="868">
    <w:name w:val="toc 9"/>
    <w:basedOn w:val="677"/>
    <w:next w:val="677"/>
    <w:uiPriority w:val="39"/>
    <w:unhideWhenUsed/>
    <w:pPr>
      <w:ind w:left="2268"/>
      <w:spacing w:after="57"/>
    </w:pPr>
  </w:style>
  <w:style w:type="paragraph" w:styleId="869">
    <w:name w:val="TOC Heading"/>
    <w:uiPriority w:val="39"/>
    <w:unhideWhenUsed/>
  </w:style>
  <w:style w:type="paragraph" w:styleId="870">
    <w:name w:val="table of figures"/>
    <w:basedOn w:val="677"/>
    <w:next w:val="677"/>
    <w:uiPriority w:val="99"/>
    <w:unhideWhenUsed/>
  </w:style>
  <w:style w:type="character" w:styleId="871">
    <w:name w:val="Hyperlink"/>
    <w:basedOn w:val="687"/>
    <w:uiPriority w:val="99"/>
    <w:unhideWhenUsed/>
    <w:rPr>
      <w:color w:val="0000ff"/>
      <w:u w:val="single"/>
    </w:rPr>
  </w:style>
  <w:style w:type="paragraph" w:styleId="872">
    <w:name w:val="Header"/>
    <w:basedOn w:val="677"/>
    <w:link w:val="873"/>
    <w:pPr>
      <w:tabs>
        <w:tab w:val="center" w:pos="4153" w:leader="none"/>
        <w:tab w:val="right" w:pos="8306" w:leader="none"/>
      </w:tabs>
    </w:pPr>
    <w:rPr>
      <w:rFonts w:eastAsia="Times New Roman"/>
      <w:sz w:val="24"/>
      <w:szCs w:val="24"/>
    </w:rPr>
  </w:style>
  <w:style w:type="character" w:styleId="873" w:customStyle="1">
    <w:name w:val="Верхний колонтитул Знак"/>
    <w:basedOn w:val="687"/>
    <w:link w:val="872"/>
    <w:rPr>
      <w:rFonts w:eastAsia="Times New Roman"/>
      <w:sz w:val="24"/>
      <w:szCs w:val="24"/>
    </w:rPr>
  </w:style>
  <w:style w:type="paragraph" w:styleId="874" w:customStyle="1">
    <w:name w:val="ФИО"/>
    <w:basedOn w:val="677"/>
    <w:link w:val="875"/>
    <w:rPr>
      <w:rFonts w:eastAsia="Times New Roman"/>
      <w:b/>
      <w:sz w:val="24"/>
      <w:szCs w:val="24"/>
    </w:rPr>
  </w:style>
  <w:style w:type="character" w:styleId="875" w:customStyle="1">
    <w:name w:val="ФИО Знак"/>
    <w:link w:val="874"/>
    <w:rPr>
      <w:rFonts w:eastAsia="Times New Roman"/>
      <w:b/>
      <w:sz w:val="24"/>
      <w:szCs w:val="24"/>
    </w:rPr>
  </w:style>
  <w:style w:type="paragraph" w:styleId="876">
    <w:name w:val="Balloon Text"/>
    <w:basedOn w:val="677"/>
    <w:link w:val="877"/>
    <w:uiPriority w:val="99"/>
    <w:semiHidden/>
    <w:unhideWhenUsed/>
    <w:rPr>
      <w:rFonts w:ascii="Tahoma" w:hAnsi="Tahoma" w:cs="Tahoma"/>
      <w:sz w:val="16"/>
      <w:szCs w:val="16"/>
    </w:rPr>
  </w:style>
  <w:style w:type="character" w:styleId="877" w:customStyle="1">
    <w:name w:val="Текст выноски Знак"/>
    <w:basedOn w:val="687"/>
    <w:link w:val="876"/>
    <w:uiPriority w:val="99"/>
    <w:semiHidden/>
    <w:rPr>
      <w:rFonts w:ascii="Tahoma" w:hAnsi="Tahoma" w:cs="Tahoma"/>
      <w:sz w:val="16"/>
      <w:szCs w:val="16"/>
    </w:rPr>
  </w:style>
  <w:style w:type="paragraph" w:styleId="878">
    <w:name w:val="List Paragraph"/>
    <w:basedOn w:val="677"/>
    <w:uiPriority w:val="34"/>
    <w:qFormat/>
    <w:pPr>
      <w:contextualSpacing/>
      <w:ind w:left="720"/>
    </w:pPr>
  </w:style>
  <w:style w:type="table" w:styleId="879">
    <w:name w:val="Table Grid"/>
    <w:basedOn w:val="68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0" w:customStyle="1">
    <w:name w:val="Default"/>
    <w:rPr>
      <w:color w:val="000000"/>
      <w:sz w:val="24"/>
      <w:szCs w:val="24"/>
    </w:rPr>
  </w:style>
  <w:style w:type="paragraph" w:styleId="881">
    <w:name w:val="Body Text"/>
    <w:basedOn w:val="677"/>
    <w:link w:val="882"/>
    <w:rPr>
      <w:rFonts w:eastAsia="Times New Roman"/>
      <w:bCs/>
      <w:sz w:val="32"/>
      <w:szCs w:val="24"/>
    </w:rPr>
  </w:style>
  <w:style w:type="character" w:styleId="882" w:customStyle="1">
    <w:name w:val="Основной текст Знак"/>
    <w:basedOn w:val="687"/>
    <w:link w:val="881"/>
    <w:rPr>
      <w:rFonts w:eastAsia="Times New Roman"/>
      <w:bCs/>
      <w:sz w:val="32"/>
      <w:szCs w:val="24"/>
    </w:rPr>
  </w:style>
  <w:style w:type="character" w:styleId="883">
    <w:name w:val="FollowedHyperlink"/>
    <w:basedOn w:val="687"/>
    <w:uiPriority w:val="99"/>
    <w:semiHidden/>
    <w:unhideWhenUsed/>
    <w:rPr>
      <w:color w:val="800080" w:themeColor="followedHyperlink"/>
      <w:u w:val="single"/>
    </w:rPr>
  </w:style>
  <w:style w:type="character" w:styleId="884" w:customStyle="1">
    <w:name w:val="notice-header_title_text"/>
    <w:basedOn w:val="687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dugsto@gov70.ru" TargetMode="External"/><Relationship Id="rId11" Type="http://schemas.openxmlformats.org/officeDocument/2006/relationships/hyperlink" Target="mailto:fai@gki.tomsk.ru" TargetMode="External"/><Relationship Id="rId12" Type="http://schemas.openxmlformats.org/officeDocument/2006/relationships/hyperlink" Target="http://www.torgi.gov.ru/" TargetMode="External"/><Relationship Id="rId13" Type="http://schemas.openxmlformats.org/officeDocument/2006/relationships/hyperlink" Target="https://www.torgi.gov.&#1075;u" TargetMode="External"/><Relationship Id="rId14" Type="http://schemas.openxmlformats.org/officeDocument/2006/relationships/hyperlink" Target="https://www.torgi.gov.&#1075;u" TargetMode="External"/><Relationship Id="rId15" Type="http://schemas.openxmlformats.org/officeDocument/2006/relationships/hyperlink" Target="https://dugs.tomsk.gov.ru/privatizatsija-prodazha-gosudarstvennogo-imuschestva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AD081-3156-4CEB-9FCD-471842555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kovalevaes@dugs.local</cp:lastModifiedBy>
  <cp:revision>12</cp:revision>
  <dcterms:created xsi:type="dcterms:W3CDTF">2026-05-21T10:41:00Z</dcterms:created>
  <dcterms:modified xsi:type="dcterms:W3CDTF">2026-08-26T03:01:02Z</dcterms:modified>
</cp:coreProperties>
</file>