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ИНФОРМАЦИОННОЕ СООБЩЕНИЕ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spacing w:line="1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23"/>
          <w:szCs w:val="23"/>
        </w:rPr>
      </w:pP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о проведении открытого аукциона в электронной форме по продаже государственного имущества Томской области</w:t>
      </w:r>
      <w:r>
        <w:rPr>
          <w:rFonts w:ascii="PT Astra Serif" w:hAnsi="PT Astra Serif" w:eastAsia="Times New Roman"/>
          <w:b/>
          <w:bCs/>
          <w:sz w:val="23"/>
          <w:szCs w:val="23"/>
        </w:rPr>
      </w:r>
      <w:r>
        <w:rPr>
          <w:rFonts w:ascii="PT Astra Serif" w:hAnsi="PT Astra Serif" w:eastAsia="Times New Roman"/>
          <w:b/>
          <w:bCs/>
          <w:sz w:val="23"/>
          <w:szCs w:val="23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ind w:left="120" w:right="-178"/>
        <w:jc w:val="both"/>
        <w:rPr>
          <w:rFonts w:ascii="PT Astra Serif" w:hAnsi="PT Astra Serif" w:eastAsia="Times New Roman"/>
          <w:bCs/>
          <w:color w:val="000000"/>
          <w:sz w:val="24"/>
          <w:szCs w:val="24"/>
        </w:rPr>
      </w:pPr>
      <w:r>
        <w:rPr>
          <w:rFonts w:ascii="PT Astra Serif" w:hAnsi="PT Astra Serif" w:eastAsia="Times New Roman"/>
          <w:bCs/>
          <w:color w:val="c00000"/>
          <w:sz w:val="24"/>
          <w:szCs w:val="24"/>
          <w:u w:val="single"/>
        </w:rPr>
        <w:t xml:space="preserve">Внимание!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Данное информационное сообщение является публичной офертой для заключения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</w:r>
    </w:p>
    <w:p>
      <w:pPr>
        <w:pStyle w:val="682"/>
        <w:ind w:right="360"/>
        <w:spacing w:before="0" w:after="0"/>
        <w:rPr>
          <w:rFonts w:eastAsia="Times New Roman"/>
          <w:b/>
          <w:bCs/>
          <w:color w:val="143370"/>
          <w:sz w:val="54"/>
          <w:szCs w:val="54"/>
        </w:rPr>
      </w:pP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Номер процедуры на сайте РТС-Тендер: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№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21000022460000000127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eastAsia="Times New Roman"/>
          <w:b/>
          <w:bCs/>
          <w:color w:val="143370"/>
          <w:sz w:val="54"/>
          <w:szCs w:val="54"/>
        </w:rPr>
      </w:r>
      <w:r>
        <w:rPr>
          <w:rFonts w:eastAsia="Times New Roman"/>
          <w:b/>
          <w:bCs/>
          <w:color w:val="143370"/>
          <w:sz w:val="54"/>
          <w:szCs w:val="54"/>
        </w:rPr>
      </w:r>
    </w:p>
    <w:p>
      <w:pPr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1. Общие сведения о продаже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tbl>
      <w:tblPr>
        <w:tblStyle w:val="883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>
        <w:tblPrEx/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spacing w:line="266" w:lineRule="exact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spacing w:line="266" w:lineRule="exact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Наименование государственного органа, принявшего решение об условиях приватизации имущества, реквизиты указанного решения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6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органа,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Правительства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6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Реквизиты решения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20 августа 2026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№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208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-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р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п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«Об условиях приватизации государственного имущества Томской области»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(в ред. распоряжения Правительства Томской области от 03.09.2026 № 264-рп)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6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Собственник имущества: Томская область в лице Департамента по управлению государственной собственностью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vAlign w:val="bottom"/>
            <w:textDirection w:val="lrTb"/>
            <w:noWrap w:val="false"/>
          </w:tcPr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10" w:tooltip="mailto:dugsto@gov70.ru" w:history="1">
              <w:r>
                <w:rPr>
                  <w:rStyle w:val="87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Style w:val="87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hyperlink r:id="rId11" w:tooltip="mailto:fai@gki.tomsk.ru" w:history="1">
              <w:r>
                <w:rPr>
                  <w:rStyle w:val="875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fai</w:t>
              </w:r>
              <w:r>
                <w:rPr>
                  <w:rStyle w:val="875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dugs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r</w:t>
              </w:r>
              <w:r>
                <w:rPr>
                  <w:rStyle w:val="875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ktn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u,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kes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6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Организатор торгов -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(www.rts-tender.ru)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6" w:lineRule="exac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121151, г. Москва, набережная Тараса Шевченко, д.23А,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дрес электронной почты: iSupport@rts-tender.ru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6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875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r>
              <w:rPr>
                <w:rStyle w:val="875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</w:t>
            </w:r>
            <w:r>
              <w:rPr>
                <w:rStyle w:val="875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.Ф</w:t>
            </w:r>
            <w:r>
              <w:rPr>
                <w:rStyle w:val="875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рунзе</w:t>
            </w:r>
            <w:r>
              <w:rPr>
                <w:rStyle w:val="875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, д. 20, офис 308, телефон: +7 (3822) 98-41-99, адрес электронной почты: a.polyakov@rts-tender.ru, a.malyshev@rts-tender.ru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spacing w:line="266" w:lineRule="exact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spacing w:line="266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 и характеристика имущества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6" w:lineRule="exact"/>
              <w:tabs>
                <w:tab w:val="left" w:pos="4230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Нежилое здание, назначение: нежилое, площадь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239,2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кв. м, кадастровый номер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70:13:0101002:804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расположенное по адресу: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р-н. Тегульдетский, с. Тегульдет, ул. Парковая, д. 52, строен. 2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с земельным участком, занимаемым объектом недвижимости, категория земель: земли населенных пунктов, виды разрешенного использования: «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объекты гаражного назначения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»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площадь 502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кв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.м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кадастровый номер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70:13:0101002:1374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по адресу: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Тегульдетский район,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Тегульдетское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сельское поселение,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с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.Т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егульдет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ул. Парковая, 52а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(далее - имущество).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both"/>
              <w:spacing w:line="266" w:lineRule="exact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spacing w:line="266" w:lineRule="exact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spacing w:line="266" w:lineRule="exact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Способ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Аукцион в электронной форме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spacing w:line="266" w:lineRule="exact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spacing w:line="266" w:lineRule="exact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2 018 560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(два миллиона восемнадцать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тысяч пятьсот шестьдесят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00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копеек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учетом налога на добавленную стоимость (далее – НДС)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spacing w:line="266" w:lineRule="exact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spacing w:line="266" w:lineRule="exact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Форма подачи предложений о цене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Открытая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1646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spacing w:line="266" w:lineRule="exact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spacing w:line="266" w:lineRule="exact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Условия и сроки платежа,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30 (тридцати) 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Получатель: ИНН 7017018464, КПП 701701001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5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казначейский счет № 03100643000000016500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pStyle w:val="885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единый казначейский счет № 40102810345370000130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ОКЦ №1 Сибирского ГУ Банка России//УФК по Томской области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5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БИК 045004130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  <w:b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Код бюджетной классификации (КБК):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80111413020020000410.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Победитель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самостоятельно исчисляет и уплачивает НДС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spacing w:line="266" w:lineRule="exact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spacing w:line="266" w:lineRule="exact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задатка, срок и порядок его внесения,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Размер задатка: </w:t>
            </w:r>
            <w:r>
              <w:rPr>
                <w:rFonts w:ascii="PT Astra Serif" w:hAnsi="PT Astra Serif"/>
                <w:b/>
                <w:bCs/>
                <w:sz w:val="26"/>
                <w:szCs w:val="26"/>
                <w:highlight w:val="white"/>
                <w:u w:val="single"/>
              </w:rPr>
              <w:t xml:space="preserve">201 856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(двести одна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тысяча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восемьсот пятьдесят шесть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  <w:u w:val="single"/>
              </w:rPr>
              <w:t xml:space="preserve">рублей 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  <w:u w:val="single"/>
              </w:rPr>
              <w:t xml:space="preserve">00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  <w:u w:val="single"/>
              </w:rPr>
              <w:t xml:space="preserve"> копеек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(10% начальной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цены).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Задаток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должен поступить не позднее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05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.10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по следующим реквизитам: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Получатель ООО «РТС-тендер»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highlight w:val="white"/>
                <w:shd w:val="clear" w:color="auto" w:fill="ffffff"/>
              </w:rPr>
              <w:t xml:space="preserve">Филиал «Корпоративный» ПАО «</w:t>
            </w:r>
            <w:r>
              <w:rPr>
                <w:rFonts w:ascii="PT Astra Serif" w:hAnsi="PT Astra Serif" w:cs="Arial"/>
                <w:sz w:val="24"/>
                <w:szCs w:val="24"/>
                <w:highlight w:val="white"/>
                <w:shd w:val="clear" w:color="auto" w:fill="ffffff"/>
              </w:rPr>
              <w:t xml:space="preserve">Совкомбанк</w:t>
            </w:r>
            <w:r>
              <w:rPr>
                <w:rFonts w:ascii="PT Astra Serif" w:hAnsi="PT Astra Serif" w:cs="Arial"/>
                <w:sz w:val="24"/>
                <w:szCs w:val="24"/>
                <w:highlight w:val="white"/>
                <w:shd w:val="clear" w:color="auto" w:fill="ffffff"/>
              </w:rPr>
              <w:t xml:space="preserve">»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highlight w:val="white"/>
                <w:shd w:val="clear" w:color="auto" w:fill="ffffff"/>
              </w:rPr>
              <w:t xml:space="preserve">40702810512030016362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highlight w:val="white"/>
                <w:shd w:val="clear" w:color="auto" w:fill="ffffff"/>
              </w:rPr>
              <w:t xml:space="preserve">30101810445250000360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highlight w:val="white"/>
                <w:shd w:val="clear" w:color="auto" w:fill="ffffff"/>
              </w:rPr>
              <w:t xml:space="preserve">044525360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 ИНН 7710357167, КПП 773001001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№ аналитического счета _________, без НДС.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spacing w:line="266" w:lineRule="exact"/>
              <w:rPr>
                <w:rFonts w:ascii="PT Astra Serif" w:hAnsi="PT Astra Serif"/>
                <w:b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Документом, подтверждающим поступление задатка на счет, является выписка с этого счета.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spacing w:line="266" w:lineRule="exact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spacing w:line="266" w:lineRule="exact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повышения начальной цены  («шаг аукциона»)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highlight w:val="white"/>
              </w:rPr>
              <w:t xml:space="preserve">100 928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(сто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тысяч девятьсот двадцать восемь</w:t>
            </w:r>
            <w:r>
              <w:rPr>
                <w:rFonts w:ascii="PT Astra Serif" w:hAnsi="PT Astra Serif"/>
                <w:sz w:val="24"/>
                <w:highlight w:val="white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  <w:u w:val="single"/>
              </w:rPr>
              <w:t xml:space="preserve">рублей 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  <w:u w:val="single"/>
              </w:rPr>
              <w:t xml:space="preserve">00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  <w:u w:val="single"/>
              </w:rPr>
              <w:t xml:space="preserve"> копеек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  <w:u w:val="single"/>
              </w:rPr>
              <w:t xml:space="preserve"> </w:t>
            </w:r>
            <w:r>
              <w:rPr>
                <w:rFonts w:ascii="PT Astra Serif" w:hAnsi="PT Astra Serif"/>
                <w:sz w:val="24"/>
                <w:highlight w:val="white"/>
              </w:rPr>
              <w:t xml:space="preserve">(5% начальной цены).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spacing w:line="266" w:lineRule="exact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spacing w:line="266" w:lineRule="exact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Порядок, место, даты начала и окончания 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Порядок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</w:rPr>
              <w:t xml:space="preserve">электронная торговая площадк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</w:rPr>
              <w:t xml:space="preserve">а ООО</w:t>
            </w:r>
            <w:r>
              <w:rPr>
                <w:rFonts w:ascii="PT Astra Serif" w:hAnsi="PT Astra Serif"/>
                <w:b/>
                <w:sz w:val="24"/>
                <w:szCs w:val="24"/>
                <w:highlight w:val="white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www.rts-tender.ru.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Одно лицо имеет право подать только одну заявку.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Дата начала подачи заявок: 08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сентября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2026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, 09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часов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00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Дата окончания подачи заявок: 05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октября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18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часов 00 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spacing w:line="266" w:lineRule="exact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spacing w:line="266" w:lineRule="exact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Исчерпывающий перечень представляемых участниками торгов документов и требования к их оформлению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 форме электронных документов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заверенные копии учредительных документов;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содержащий сведения о доле Российской Фе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который подтверждает полномочия руко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доверенности;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копию всех листов документа, удостоверяющего личность;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от имени претендента действует его представитель по доверенности, к заявке должна быть приложена доверенность на осуществление де</w:t>
            </w:r>
            <w:bookmarkStart w:id="0" w:name="_GoBack"/>
            <w:r/>
            <w:bookmarkEnd w:id="0"/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йствий от имени претендента, оформленная в установленном порядке, или нотариально заверенная копия такой доверенности. 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spacing w:line="266" w:lineRule="exact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spacing w:line="266" w:lineRule="exact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заключения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Не ранее чем через десять дней и не позднее двадцати дней со дня размещения на </w:t>
            </w:r>
            <w:hyperlink r:id="rId12" w:tooltip="http://www.torgi.gov.ru/" w:history="1">
              <w:r>
                <w:rPr>
                  <w:rStyle w:val="875"/>
                  <w:rFonts w:ascii="PT Astra Serif" w:hAnsi="PT Astra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официальном сайте</w:t>
              </w:r>
            </w:hyperlink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в сети «Интернет» </w:t>
            </w:r>
            <w:hyperlink r:id="rId13" w:tooltip="https://www.torgi.gov.гu" w:history="1">
              <w:r>
                <w:rPr>
                  <w:rStyle w:val="875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Style w:val="875"/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протокола об итогах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spacing w:line="266" w:lineRule="exact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12.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spacing w:line="266" w:lineRule="exact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ознакомления покупателей с иной информацией, условиями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 551-712, 551-711, 551-703.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Проект договора купли-продажи имущества содержится в документации об аукционе.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4" w:tooltip="https://www.torgi.gov.гu" w:history="1">
              <w:r>
                <w:rPr>
                  <w:rStyle w:val="875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5" w:tooltip="https://dugs.tomsk.gov.ru/privatizatsija-prodazha-gosudarstvennogo-imuschestva" w:history="1">
              <w:r>
                <w:rPr>
                  <w:rStyle w:val="875"/>
                  <w:rFonts w:ascii="PT Astra Serif" w:hAnsi="PT Astra Serif" w:eastAsia="Times New Roman"/>
                  <w:sz w:val="24"/>
                  <w:szCs w:val="24"/>
                </w:rPr>
                <w:t xml:space="preserve">https://dugs.tomsk.gov.ru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spacing w:line="266" w:lineRule="exact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13.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spacing w:line="266" w:lineRule="exact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 исключением: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государственных и муниципальных унитарных предприятий, государственных и муниципальных учреждений;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 территорий, предоставляющи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бенефициарных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Федерации;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Понятие «контролирующее лицо» используется в том же значении, что и в ста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spacing w:line="266" w:lineRule="exact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14.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spacing w:line="266" w:lineRule="exact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День определения участников 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07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октября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Продавец рассматривает заявки и документы пре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spacing w:line="266" w:lineRule="exact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spacing w:line="266" w:lineRule="exact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определения победителя аукциона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6" w:lineRule="exact"/>
              <w:rPr>
                <w:rFonts w:ascii="PT Astra Serif" w:hAnsi="PT Astra Serif" w:cs="PT Astra Serif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заявляются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  <w:highlight w:val="white"/>
              </w:rPr>
              <w:t xml:space="preserve"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  <w:highlight w:val="white"/>
              </w:rPr>
              <w:t xml:space="preserve">В случае отказа лица, признанного единственным участником аукциона, от заключения договора аукцион признается несостоявшимся.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spacing w:line="266" w:lineRule="exact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spacing w:line="266" w:lineRule="exact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и срок подведения итогов продажи государственного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Место подведения итогов: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«РТС – тендер»  www.rts-tender.ru.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</w:r>
          </w:p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Срок подведения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итогов: 08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октя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бря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14 часов 00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spacing w:line="266" w:lineRule="exact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spacing w:line="266" w:lineRule="exact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Торги по продаже государственного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имущества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назначенные на </w:t>
            </w:r>
            <w:r>
              <w:rPr>
                <w:rFonts w:ascii="PT Astra Serif" w:hAnsi="PT Astra Serif" w:eastAsia="Times New Roman"/>
                <w:b w:val="0"/>
                <w:bCs w:val="0"/>
                <w:sz w:val="24"/>
                <w:szCs w:val="24"/>
              </w:rPr>
              <w:t xml:space="preserve">15.12.2025, </w:t>
            </w:r>
            <w:r>
              <w:rPr>
                <w:rFonts w:ascii="PT Astra Serif" w:hAnsi="PT Astra Serif" w:eastAsia="Times New Roman"/>
                <w:b w:val="0"/>
                <w:bCs w:val="0"/>
                <w:sz w:val="24"/>
                <w:szCs w:val="24"/>
              </w:rPr>
              <w:t xml:space="preserve">06.11.2025, </w:t>
            </w:r>
            <w:r>
              <w:rPr>
                <w:rFonts w:ascii="PT Astra Serif" w:hAnsi="PT Astra Serif" w:eastAsia="Times New Roman"/>
                <w:b w:val="0"/>
                <w:bCs w:val="0"/>
                <w:sz w:val="24"/>
                <w:szCs w:val="24"/>
              </w:rPr>
              <w:t xml:space="preserve">21.01.</w:t>
            </w:r>
            <w:r>
              <w:rPr>
                <w:rFonts w:ascii="PT Astra Serif" w:hAnsi="PT Astra Serif" w:eastAsia="Times New Roman"/>
                <w:b w:val="0"/>
                <w:bCs w:val="0"/>
                <w:sz w:val="24"/>
                <w:szCs w:val="24"/>
              </w:rPr>
              <w:t xml:space="preserve">202</w:t>
            </w:r>
            <w:r>
              <w:rPr>
                <w:rFonts w:ascii="PT Astra Serif" w:hAnsi="PT Astra Serif" w:eastAsia="Times New Roman"/>
                <w:b w:val="0"/>
                <w:bCs w:val="0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Times New Roman"/>
                <w:b w:val="0"/>
                <w:bCs w:val="0"/>
                <w:sz w:val="24"/>
                <w:szCs w:val="24"/>
              </w:rPr>
              <w:t xml:space="preserve"> года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не состоялись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по причине отсутствия заявок на участие.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1481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spacing w:line="266" w:lineRule="exact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spacing w:line="266" w:lineRule="exact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 установлении публичного сервитута и (или) иных ограничений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6" w:lineRule="exact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Отсутствуют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</w:tbl>
    <w:p>
      <w:pPr>
        <w:jc w:val="center"/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  <w:br w:type="page" w:clear="all"/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2. Общие положения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с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27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Федеральным законом от 21 декабря 2001 года № 178-ФЗ «О приватизации государственного и муниципального имущества»;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0"/>
        <w:jc w:val="both"/>
        <w:tabs>
          <w:tab w:val="left" w:pos="840" w:leader="none"/>
          <w:tab w:val="left" w:pos="2740" w:leader="none"/>
          <w:tab w:val="left" w:pos="4500" w:leader="none"/>
          <w:tab w:val="left" w:pos="5940" w:leader="none"/>
          <w:tab w:val="left" w:pos="7320" w:leader="none"/>
          <w:tab w:val="left" w:pos="7800" w:leader="none"/>
          <w:tab w:val="left" w:pos="8280" w:leader="none"/>
          <w:tab w:val="left" w:pos="9280" w:leader="none"/>
          <w:tab w:val="left" w:pos="1000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- постановлением Правительства Российской Федерации от 27.08.2012</w:t>
      </w:r>
      <w:r>
        <w:rPr>
          <w:rFonts w:ascii="PT Astra Serif" w:hAnsi="PT Astra Serif" w:eastAsia="Times New Roman"/>
          <w:sz w:val="23"/>
          <w:szCs w:val="23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860 «Об организации и проведении продажи государственного и муниципального имущества в электронной форме»;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567"/>
        <w:jc w:val="both"/>
        <w:spacing w:line="230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Законом Томской области от 12 июля 2018 года № 80-ОЗ «О приватизации государственного имущества Томской области»;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7"/>
        <w:jc w:val="both"/>
        <w:spacing w:line="234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 Законодательной Думы Томской области от 30.10.2025 № 1979 «О прогнозном плане (программе) приватизации государственного имущества Томской области на плановый период 2026-2028 годов»</w:t>
      </w:r>
      <w:r>
        <w:rPr>
          <w:rFonts w:ascii="PT Astra Serif" w:hAnsi="PT Astra Serif" w:eastAsia="Times New Roman"/>
          <w:sz w:val="24"/>
          <w:szCs w:val="24"/>
        </w:rPr>
        <w:t xml:space="preserve">.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left="56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регистрации на электронной площадке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ind w:firstLine="567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 xml:space="preserve">Для обеспечения доступа</w:t>
      </w:r>
      <w:r>
        <w:rPr>
          <w:rFonts w:ascii="PT Astra Serif" w:hAnsi="PT Astra Serif" w:eastAsia="Times New Roman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проводится в соответствии с Регламентом электронной площадки.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hAnsi="PT Astra Serif" w:eastAsia="Times New Roman"/>
          <w:sz w:val="24"/>
          <w:szCs w:val="24"/>
        </w:rPr>
        <w:t xml:space="preserve">для оформления участия в электронном аукционе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</w:t>
      </w:r>
      <w:r>
        <w:rPr>
          <w:rFonts w:ascii="PT Astra Serif" w:hAnsi="PT Astra Serif" w:eastAsia="Times New Roman"/>
          <w:sz w:val="24"/>
          <w:szCs w:val="24"/>
        </w:rPr>
        <w:t xml:space="preserve">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указан</w:t>
      </w:r>
      <w:r>
        <w:rPr>
          <w:rFonts w:ascii="PT Astra Serif" w:hAnsi="PT Astra Serif" w:eastAsia="Times New Roman"/>
          <w:sz w:val="24"/>
          <w:szCs w:val="24"/>
        </w:rPr>
        <w:t xml:space="preserve"> в данном информационном сообщении. 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left="560" w:firstLine="149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Одно лицо имеет право подать только одну заявку на участие в электронном аукционе.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При приеме заявок от Претендентов электронная площадка обеспечивает регистрацию заяво</w:t>
      </w:r>
      <w:r>
        <w:rPr>
          <w:rFonts w:ascii="PT Astra Serif" w:hAnsi="PT Astra Serif" w:eastAsia="Times New Roman"/>
          <w:sz w:val="24"/>
          <w:szCs w:val="24"/>
        </w:rPr>
        <w:t xml:space="preserve">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r>
        <w:rPr>
          <w:rFonts w:ascii="PT Astra Serif" w:hAnsi="PT Astra Serif" w:eastAsia="Times New Roman"/>
          <w:sz w:val="24"/>
          <w:szCs w:val="24"/>
        </w:rPr>
        <w:t xml:space="preserve">уведомления</w:t>
      </w:r>
      <w:r>
        <w:rPr>
          <w:rFonts w:ascii="PT Astra Serif" w:hAnsi="PT Astra Serif"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tabs>
          <w:tab w:val="left" w:pos="76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8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Для участия в аукционе Претенден</w:t>
      </w:r>
      <w:r>
        <w:rPr>
          <w:rFonts w:ascii="PT Astra Serif" w:hAnsi="PT Astra Serif" w:eastAsia="Times New Roman"/>
          <w:sz w:val="24"/>
          <w:szCs w:val="24"/>
        </w:rPr>
        <w:t xml:space="preserve">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</w:t>
      </w:r>
      <w:r>
        <w:rPr>
          <w:rFonts w:ascii="PT Astra Serif" w:hAnsi="PT Astra Serif" w:eastAsia="Times New Roman"/>
          <w:sz w:val="24"/>
          <w:szCs w:val="24"/>
        </w:rPr>
        <w:t xml:space="preserve">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709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Задаток для участия в про</w:t>
      </w:r>
      <w:r>
        <w:rPr>
          <w:rFonts w:ascii="PT Astra Serif" w:hAnsi="PT Astra Serif" w:eastAsia="Times New Roman"/>
          <w:sz w:val="24"/>
          <w:szCs w:val="24"/>
        </w:rPr>
        <w:t xml:space="preserve">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r>
        <w:rPr>
          <w:rFonts w:ascii="PT Astra Serif" w:hAnsi="PT Astra Serif" w:eastAsia="Times New Roman"/>
          <w:sz w:val="24"/>
          <w:szCs w:val="24"/>
        </w:rPr>
        <w:t xml:space="preserve">с даты подведения</w:t>
      </w:r>
      <w:r>
        <w:rPr>
          <w:rFonts w:ascii="PT Astra Serif" w:hAnsi="PT Astra Serif" w:eastAsia="Times New Roman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r>
        <w:rPr>
          <w:rFonts w:ascii="PT Astra Serif" w:hAnsi="PT Astra Serif" w:cs="PT Astra Serif"/>
          <w:sz w:val="24"/>
          <w:szCs w:val="24"/>
        </w:rPr>
        <w:t xml:space="preserve">возвращается</w:t>
      </w:r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данным информационным сообщением.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jc w:val="both"/>
        <w:spacing w:line="2" w:lineRule="exac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не допускается к участию в аукционе по следующим основаниям: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22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представленные документы не подтверждают право претендента быть покупателем в соответствии с законодательством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6" w:lineRule="auto"/>
        <w:tabs>
          <w:tab w:val="left" w:pos="85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3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заявка на участие в аукционе подана лицом, не уполномоченным претендентом на осуществление таких действий;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both"/>
        <w:spacing w:line="13" w:lineRule="exact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12" w:leader="none"/>
        </w:tabs>
        <w:rPr>
          <w:rFonts w:ascii="PT Astra Serif" w:hAnsi="PT Astra Serif" w:eastAsia="Arial" w:cs="Arial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не подтверждено поступление в установленный срок задатка на счет, указанный в информационном сообщении.</w:t>
      </w:r>
      <w:r>
        <w:rPr>
          <w:rFonts w:ascii="PT Astra Serif" w:hAnsi="PT Astra Serif" w:eastAsia="Arial" w:cs="Arial"/>
          <w:sz w:val="20"/>
          <w:szCs w:val="20"/>
        </w:rPr>
      </w:r>
      <w:r>
        <w:rPr>
          <w:rFonts w:ascii="PT Astra Serif" w:hAnsi="PT Astra Serif" w:eastAsia="Arial" w:cs="Arial"/>
          <w:sz w:val="20"/>
          <w:szCs w:val="20"/>
        </w:rPr>
      </w:r>
    </w:p>
    <w:p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40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Ход проведения процедуры аукциона фиксируется электронной площадкой в электронном журнале.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Процедура аукциона считается завершенной со времени подписания организатором аукциона протокола об итогах аукциона.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sectPr>
      <w:footnotePr/>
      <w:endnotePr/>
      <w:type w:val="nextPage"/>
      <w:pgSz w:w="11900" w:h="16838" w:orient="portrait"/>
      <w:pgMar w:top="454" w:right="567" w:bottom="454" w:left="567" w:header="0" w:footer="0" w:gutter="0"/>
      <w:cols w:num="1" w:sep="0"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и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с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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29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№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8"/>
  </w:num>
  <w:num w:numId="2">
    <w:abstractNumId w:val="7"/>
  </w:num>
  <w:num w:numId="3">
    <w:abstractNumId w:val="10"/>
  </w:num>
  <w:num w:numId="4">
    <w:abstractNumId w:val="0"/>
  </w:num>
  <w:num w:numId="5">
    <w:abstractNumId w:val="3"/>
  </w:num>
  <w:num w:numId="6">
    <w:abstractNumId w:val="9"/>
  </w:num>
  <w:num w:numId="7">
    <w:abstractNumId w:val="1"/>
  </w:num>
  <w:num w:numId="8">
    <w:abstractNumId w:val="4"/>
  </w:num>
  <w:num w:numId="9">
    <w:abstractNumId w:val="6"/>
  </w:num>
  <w:num w:numId="10">
    <w:abstractNumId w:val="12"/>
  </w:num>
  <w:num w:numId="11">
    <w:abstractNumId w:val="2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1" w:default="1">
    <w:name w:val="Normal"/>
    <w:qFormat/>
  </w:style>
  <w:style w:type="paragraph" w:styleId="682">
    <w:name w:val="Heading 1"/>
    <w:basedOn w:val="681"/>
    <w:next w:val="681"/>
    <w:link w:val="71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3">
    <w:name w:val="Heading 2"/>
    <w:basedOn w:val="681"/>
    <w:next w:val="681"/>
    <w:link w:val="71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4">
    <w:name w:val="Heading 3"/>
    <w:basedOn w:val="681"/>
    <w:next w:val="681"/>
    <w:link w:val="71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5">
    <w:name w:val="Heading 4"/>
    <w:basedOn w:val="681"/>
    <w:next w:val="681"/>
    <w:link w:val="71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6">
    <w:name w:val="Heading 5"/>
    <w:basedOn w:val="681"/>
    <w:next w:val="681"/>
    <w:link w:val="71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7">
    <w:name w:val="Heading 6"/>
    <w:basedOn w:val="681"/>
    <w:next w:val="681"/>
    <w:link w:val="71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88">
    <w:name w:val="Heading 7"/>
    <w:basedOn w:val="681"/>
    <w:next w:val="681"/>
    <w:link w:val="71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89">
    <w:name w:val="Heading 8"/>
    <w:basedOn w:val="681"/>
    <w:next w:val="681"/>
    <w:link w:val="71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90">
    <w:name w:val="Heading 9"/>
    <w:basedOn w:val="681"/>
    <w:next w:val="681"/>
    <w:link w:val="71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1" w:default="1">
    <w:name w:val="Default Paragraph Font"/>
    <w:uiPriority w:val="1"/>
    <w:semiHidden/>
    <w:unhideWhenUsed/>
  </w:style>
  <w:style w:type="table" w:styleId="69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3" w:default="1">
    <w:name w:val="No List"/>
    <w:uiPriority w:val="99"/>
    <w:semiHidden/>
    <w:unhideWhenUsed/>
  </w:style>
  <w:style w:type="character" w:styleId="694" w:customStyle="1">
    <w:name w:val="Heading 1 Char"/>
    <w:basedOn w:val="691"/>
    <w:uiPriority w:val="9"/>
    <w:rPr>
      <w:rFonts w:ascii="Arial" w:hAnsi="Arial" w:eastAsia="Arial" w:cs="Arial"/>
      <w:sz w:val="40"/>
      <w:szCs w:val="40"/>
    </w:rPr>
  </w:style>
  <w:style w:type="character" w:styleId="695" w:customStyle="1">
    <w:name w:val="Heading 2 Char"/>
    <w:basedOn w:val="691"/>
    <w:uiPriority w:val="9"/>
    <w:rPr>
      <w:rFonts w:ascii="Arial" w:hAnsi="Arial" w:eastAsia="Arial" w:cs="Arial"/>
      <w:sz w:val="34"/>
    </w:rPr>
  </w:style>
  <w:style w:type="character" w:styleId="696" w:customStyle="1">
    <w:name w:val="Heading 3 Char"/>
    <w:basedOn w:val="691"/>
    <w:uiPriority w:val="9"/>
    <w:rPr>
      <w:rFonts w:ascii="Arial" w:hAnsi="Arial" w:eastAsia="Arial" w:cs="Arial"/>
      <w:sz w:val="30"/>
      <w:szCs w:val="30"/>
    </w:rPr>
  </w:style>
  <w:style w:type="character" w:styleId="697" w:customStyle="1">
    <w:name w:val="Heading 4 Char"/>
    <w:basedOn w:val="691"/>
    <w:uiPriority w:val="9"/>
    <w:rPr>
      <w:rFonts w:ascii="Arial" w:hAnsi="Arial" w:eastAsia="Arial" w:cs="Arial"/>
      <w:b/>
      <w:bCs/>
      <w:sz w:val="26"/>
      <w:szCs w:val="26"/>
    </w:rPr>
  </w:style>
  <w:style w:type="character" w:styleId="698" w:customStyle="1">
    <w:name w:val="Heading 5 Char"/>
    <w:basedOn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99" w:customStyle="1">
    <w:name w:val="Heading 6 Char"/>
    <w:basedOn w:val="691"/>
    <w:uiPriority w:val="9"/>
    <w:rPr>
      <w:rFonts w:ascii="Arial" w:hAnsi="Arial" w:eastAsia="Arial" w:cs="Arial"/>
      <w:b/>
      <w:bCs/>
      <w:sz w:val="22"/>
      <w:szCs w:val="22"/>
    </w:rPr>
  </w:style>
  <w:style w:type="character" w:styleId="700" w:customStyle="1">
    <w:name w:val="Heading 7 Char"/>
    <w:basedOn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1" w:customStyle="1">
    <w:name w:val="Heading 8 Char"/>
    <w:basedOn w:val="691"/>
    <w:uiPriority w:val="9"/>
    <w:rPr>
      <w:rFonts w:ascii="Arial" w:hAnsi="Arial" w:eastAsia="Arial" w:cs="Arial"/>
      <w:i/>
      <w:iCs/>
      <w:sz w:val="22"/>
      <w:szCs w:val="22"/>
    </w:rPr>
  </w:style>
  <w:style w:type="character" w:styleId="702" w:customStyle="1">
    <w:name w:val="Heading 9 Char"/>
    <w:basedOn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703" w:customStyle="1">
    <w:name w:val="Title Char"/>
    <w:basedOn w:val="691"/>
    <w:uiPriority w:val="10"/>
    <w:rPr>
      <w:sz w:val="48"/>
      <w:szCs w:val="48"/>
    </w:rPr>
  </w:style>
  <w:style w:type="character" w:styleId="704" w:customStyle="1">
    <w:name w:val="Subtitle Char"/>
    <w:basedOn w:val="691"/>
    <w:uiPriority w:val="11"/>
    <w:rPr>
      <w:sz w:val="24"/>
      <w:szCs w:val="24"/>
    </w:rPr>
  </w:style>
  <w:style w:type="character" w:styleId="705" w:customStyle="1">
    <w:name w:val="Quote Char"/>
    <w:uiPriority w:val="29"/>
    <w:rPr>
      <w:i/>
    </w:rPr>
  </w:style>
  <w:style w:type="character" w:styleId="706" w:customStyle="1">
    <w:name w:val="Intense Quote Char"/>
    <w:uiPriority w:val="30"/>
    <w:rPr>
      <w:i/>
    </w:rPr>
  </w:style>
  <w:style w:type="character" w:styleId="707" w:customStyle="1">
    <w:name w:val="Caption Char"/>
    <w:uiPriority w:val="99"/>
  </w:style>
  <w:style w:type="character" w:styleId="708" w:customStyle="1">
    <w:name w:val="Footnote Text Char"/>
    <w:uiPriority w:val="99"/>
    <w:rPr>
      <w:sz w:val="18"/>
    </w:rPr>
  </w:style>
  <w:style w:type="character" w:styleId="709" w:customStyle="1">
    <w:name w:val="Endnote Text Char"/>
    <w:uiPriority w:val="99"/>
    <w:rPr>
      <w:sz w:val="20"/>
    </w:rPr>
  </w:style>
  <w:style w:type="character" w:styleId="710" w:customStyle="1">
    <w:name w:val="Заголовок 1 Знак"/>
    <w:basedOn w:val="691"/>
    <w:link w:val="682"/>
    <w:uiPriority w:val="9"/>
    <w:rPr>
      <w:rFonts w:ascii="Arial" w:hAnsi="Arial" w:eastAsia="Arial" w:cs="Arial"/>
      <w:sz w:val="40"/>
      <w:szCs w:val="40"/>
    </w:rPr>
  </w:style>
  <w:style w:type="character" w:styleId="711" w:customStyle="1">
    <w:name w:val="Заголовок 2 Знак"/>
    <w:basedOn w:val="691"/>
    <w:link w:val="683"/>
    <w:uiPriority w:val="9"/>
    <w:rPr>
      <w:rFonts w:ascii="Arial" w:hAnsi="Arial" w:eastAsia="Arial" w:cs="Arial"/>
      <w:sz w:val="34"/>
    </w:rPr>
  </w:style>
  <w:style w:type="character" w:styleId="712" w:customStyle="1">
    <w:name w:val="Заголовок 3 Знак"/>
    <w:basedOn w:val="691"/>
    <w:link w:val="684"/>
    <w:uiPriority w:val="9"/>
    <w:rPr>
      <w:rFonts w:ascii="Arial" w:hAnsi="Arial" w:eastAsia="Arial" w:cs="Arial"/>
      <w:sz w:val="30"/>
      <w:szCs w:val="30"/>
    </w:rPr>
  </w:style>
  <w:style w:type="character" w:styleId="713" w:customStyle="1">
    <w:name w:val="Заголовок 4 Знак"/>
    <w:basedOn w:val="691"/>
    <w:link w:val="685"/>
    <w:uiPriority w:val="9"/>
    <w:rPr>
      <w:rFonts w:ascii="Arial" w:hAnsi="Arial" w:eastAsia="Arial" w:cs="Arial"/>
      <w:b/>
      <w:bCs/>
      <w:sz w:val="26"/>
      <w:szCs w:val="26"/>
    </w:rPr>
  </w:style>
  <w:style w:type="character" w:styleId="714" w:customStyle="1">
    <w:name w:val="Заголовок 5 Знак"/>
    <w:basedOn w:val="691"/>
    <w:link w:val="686"/>
    <w:uiPriority w:val="9"/>
    <w:rPr>
      <w:rFonts w:ascii="Arial" w:hAnsi="Arial" w:eastAsia="Arial" w:cs="Arial"/>
      <w:b/>
      <w:bCs/>
      <w:sz w:val="24"/>
      <w:szCs w:val="24"/>
    </w:rPr>
  </w:style>
  <w:style w:type="character" w:styleId="715" w:customStyle="1">
    <w:name w:val="Заголовок 6 Знак"/>
    <w:basedOn w:val="691"/>
    <w:link w:val="687"/>
    <w:uiPriority w:val="9"/>
    <w:rPr>
      <w:rFonts w:ascii="Arial" w:hAnsi="Arial" w:eastAsia="Arial" w:cs="Arial"/>
      <w:b/>
      <w:bCs/>
      <w:sz w:val="22"/>
      <w:szCs w:val="22"/>
    </w:rPr>
  </w:style>
  <w:style w:type="character" w:styleId="716" w:customStyle="1">
    <w:name w:val="Заголовок 7 Знак"/>
    <w:basedOn w:val="691"/>
    <w:link w:val="6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7" w:customStyle="1">
    <w:name w:val="Заголовок 8 Знак"/>
    <w:basedOn w:val="691"/>
    <w:link w:val="689"/>
    <w:uiPriority w:val="9"/>
    <w:rPr>
      <w:rFonts w:ascii="Arial" w:hAnsi="Arial" w:eastAsia="Arial" w:cs="Arial"/>
      <w:i/>
      <w:iCs/>
      <w:sz w:val="22"/>
      <w:szCs w:val="22"/>
    </w:rPr>
  </w:style>
  <w:style w:type="character" w:styleId="718" w:customStyle="1">
    <w:name w:val="Заголовок 9 Знак"/>
    <w:basedOn w:val="691"/>
    <w:link w:val="690"/>
    <w:uiPriority w:val="9"/>
    <w:rPr>
      <w:rFonts w:ascii="Arial" w:hAnsi="Arial" w:eastAsia="Arial" w:cs="Arial"/>
      <w:i/>
      <w:iCs/>
      <w:sz w:val="21"/>
      <w:szCs w:val="21"/>
    </w:rPr>
  </w:style>
  <w:style w:type="paragraph" w:styleId="719">
    <w:name w:val="No Spacing"/>
    <w:uiPriority w:val="1"/>
    <w:qFormat/>
  </w:style>
  <w:style w:type="paragraph" w:styleId="720">
    <w:name w:val="Title"/>
    <w:basedOn w:val="681"/>
    <w:next w:val="681"/>
    <w:link w:val="72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1" w:customStyle="1">
    <w:name w:val="Название Знак"/>
    <w:basedOn w:val="691"/>
    <w:link w:val="720"/>
    <w:uiPriority w:val="10"/>
    <w:rPr>
      <w:sz w:val="48"/>
      <w:szCs w:val="48"/>
    </w:rPr>
  </w:style>
  <w:style w:type="paragraph" w:styleId="722">
    <w:name w:val="Subtitle"/>
    <w:basedOn w:val="681"/>
    <w:next w:val="681"/>
    <w:link w:val="723"/>
    <w:uiPriority w:val="11"/>
    <w:qFormat/>
    <w:pPr>
      <w:spacing w:before="200" w:after="200"/>
    </w:pPr>
    <w:rPr>
      <w:sz w:val="24"/>
      <w:szCs w:val="24"/>
    </w:rPr>
  </w:style>
  <w:style w:type="character" w:styleId="723" w:customStyle="1">
    <w:name w:val="Подзаголовок Знак"/>
    <w:basedOn w:val="691"/>
    <w:link w:val="722"/>
    <w:uiPriority w:val="11"/>
    <w:rPr>
      <w:sz w:val="24"/>
      <w:szCs w:val="24"/>
    </w:rPr>
  </w:style>
  <w:style w:type="paragraph" w:styleId="724">
    <w:name w:val="Quote"/>
    <w:basedOn w:val="681"/>
    <w:next w:val="681"/>
    <w:link w:val="725"/>
    <w:uiPriority w:val="29"/>
    <w:qFormat/>
    <w:pPr>
      <w:ind w:left="720" w:right="720"/>
    </w:pPr>
    <w:rPr>
      <w:i/>
    </w:rPr>
  </w:style>
  <w:style w:type="character" w:styleId="725" w:customStyle="1">
    <w:name w:val="Цитата 2 Знак"/>
    <w:link w:val="724"/>
    <w:uiPriority w:val="29"/>
    <w:rPr>
      <w:i/>
    </w:rPr>
  </w:style>
  <w:style w:type="paragraph" w:styleId="726">
    <w:name w:val="Intense Quote"/>
    <w:basedOn w:val="681"/>
    <w:next w:val="681"/>
    <w:link w:val="72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 w:customStyle="1">
    <w:name w:val="Выделенная цитата Знак"/>
    <w:link w:val="726"/>
    <w:uiPriority w:val="30"/>
    <w:rPr>
      <w:i/>
    </w:rPr>
  </w:style>
  <w:style w:type="character" w:styleId="728" w:customStyle="1">
    <w:name w:val="Header Char"/>
    <w:basedOn w:val="691"/>
    <w:uiPriority w:val="99"/>
  </w:style>
  <w:style w:type="paragraph" w:styleId="729">
    <w:name w:val="Footer"/>
    <w:basedOn w:val="681"/>
    <w:link w:val="73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0" w:customStyle="1">
    <w:name w:val="Footer Char"/>
    <w:basedOn w:val="691"/>
    <w:uiPriority w:val="99"/>
  </w:style>
  <w:style w:type="paragraph" w:styleId="731">
    <w:name w:val="Caption"/>
    <w:basedOn w:val="681"/>
    <w:next w:val="681"/>
    <w:link w:val="70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2" w:customStyle="1">
    <w:name w:val="Нижний колонтитул Знак"/>
    <w:link w:val="729"/>
    <w:uiPriority w:val="99"/>
  </w:style>
  <w:style w:type="table" w:styleId="733" w:customStyle="1">
    <w:name w:val="Table Grid Light"/>
    <w:basedOn w:val="69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4" w:customStyle="1">
    <w:name w:val="Plain Table 1"/>
    <w:basedOn w:val="69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 w:customStyle="1">
    <w:name w:val="Plain Table 2"/>
    <w:basedOn w:val="69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 w:customStyle="1">
    <w:name w:val="Plain Table 3"/>
    <w:basedOn w:val="69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7" w:customStyle="1">
    <w:name w:val="Plain Table 4"/>
    <w:basedOn w:val="69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Plain Table 5"/>
    <w:basedOn w:val="69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1 Light"/>
    <w:basedOn w:val="69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1"/>
    <w:basedOn w:val="69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2"/>
    <w:basedOn w:val="69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3"/>
    <w:basedOn w:val="69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4"/>
    <w:basedOn w:val="69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5"/>
    <w:basedOn w:val="69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6"/>
    <w:basedOn w:val="69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2"/>
    <w:basedOn w:val="69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1"/>
    <w:basedOn w:val="69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2"/>
    <w:basedOn w:val="69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3"/>
    <w:basedOn w:val="69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4"/>
    <w:basedOn w:val="69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5"/>
    <w:basedOn w:val="69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6"/>
    <w:basedOn w:val="69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"/>
    <w:basedOn w:val="69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1"/>
    <w:basedOn w:val="69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2"/>
    <w:basedOn w:val="69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3"/>
    <w:basedOn w:val="69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4"/>
    <w:basedOn w:val="69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5"/>
    <w:basedOn w:val="69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6"/>
    <w:basedOn w:val="69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4"/>
    <w:basedOn w:val="69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1" w:customStyle="1">
    <w:name w:val="Grid Table 4 - Accent 1"/>
    <w:basedOn w:val="692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2" w:customStyle="1">
    <w:name w:val="Grid Table 4 - Accent 2"/>
    <w:basedOn w:val="692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3" w:customStyle="1">
    <w:name w:val="Grid Table 4 - Accent 3"/>
    <w:basedOn w:val="692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4" w:customStyle="1">
    <w:name w:val="Grid Table 4 - Accent 4"/>
    <w:basedOn w:val="692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5" w:customStyle="1">
    <w:name w:val="Grid Table 4 - Accent 5"/>
    <w:basedOn w:val="692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6" w:customStyle="1">
    <w:name w:val="Grid Table 4 - Accent 6"/>
    <w:basedOn w:val="692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7" w:customStyle="1">
    <w:name w:val="Grid Table 5 Dark"/>
    <w:basedOn w:val="6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- Accent 1"/>
    <w:basedOn w:val="6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2"/>
    <w:basedOn w:val="6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 - Accent 3"/>
    <w:basedOn w:val="6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- Accent 4"/>
    <w:basedOn w:val="6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5"/>
    <w:basedOn w:val="6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 - Accent 6"/>
    <w:basedOn w:val="69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6 Colorful"/>
    <w:basedOn w:val="69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5" w:customStyle="1">
    <w:name w:val="Grid Table 6 Colorful - Accent 1"/>
    <w:basedOn w:val="692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6" w:customStyle="1">
    <w:name w:val="Grid Table 6 Colorful - Accent 2"/>
    <w:basedOn w:val="69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7" w:customStyle="1">
    <w:name w:val="Grid Table 6 Colorful - Accent 3"/>
    <w:basedOn w:val="692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8" w:customStyle="1">
    <w:name w:val="Grid Table 6 Colorful - Accent 4"/>
    <w:basedOn w:val="69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9" w:customStyle="1">
    <w:name w:val="Grid Table 6 Colorful - Accent 5"/>
    <w:basedOn w:val="692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0" w:customStyle="1">
    <w:name w:val="Grid Table 6 Colorful - Accent 6"/>
    <w:basedOn w:val="692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1" w:customStyle="1">
    <w:name w:val="Grid Table 7 Colorful"/>
    <w:basedOn w:val="69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1"/>
    <w:basedOn w:val="692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7 Colorful - Accent 2"/>
    <w:basedOn w:val="692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7 Colorful - Accent 3"/>
    <w:basedOn w:val="692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7 Colorful - Accent 4"/>
    <w:basedOn w:val="692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7 Colorful - Accent 5"/>
    <w:basedOn w:val="692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7 Colorful - Accent 6"/>
    <w:basedOn w:val="692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"/>
    <w:basedOn w:val="69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1"/>
    <w:basedOn w:val="692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2"/>
    <w:basedOn w:val="692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3"/>
    <w:basedOn w:val="692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4"/>
    <w:basedOn w:val="692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5"/>
    <w:basedOn w:val="692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6"/>
    <w:basedOn w:val="692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2"/>
    <w:basedOn w:val="69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1"/>
    <w:basedOn w:val="692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2"/>
    <w:basedOn w:val="692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3"/>
    <w:basedOn w:val="692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4"/>
    <w:basedOn w:val="692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5"/>
    <w:basedOn w:val="692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6"/>
    <w:basedOn w:val="692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2" w:customStyle="1">
    <w:name w:val="List Table 3"/>
    <w:basedOn w:val="69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1"/>
    <w:basedOn w:val="692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2"/>
    <w:basedOn w:val="69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3"/>
    <w:basedOn w:val="692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4"/>
    <w:basedOn w:val="69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5"/>
    <w:basedOn w:val="692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6"/>
    <w:basedOn w:val="692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"/>
    <w:basedOn w:val="69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1"/>
    <w:basedOn w:val="692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2"/>
    <w:basedOn w:val="692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3"/>
    <w:basedOn w:val="692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4"/>
    <w:basedOn w:val="692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5"/>
    <w:basedOn w:val="692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6"/>
    <w:basedOn w:val="692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5 Dark"/>
    <w:basedOn w:val="69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1"/>
    <w:basedOn w:val="692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2"/>
    <w:basedOn w:val="692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3"/>
    <w:basedOn w:val="692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4"/>
    <w:basedOn w:val="692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5"/>
    <w:basedOn w:val="692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5 Dark - Accent 6"/>
    <w:basedOn w:val="692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List Table 6 Colorful"/>
    <w:basedOn w:val="69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4" w:customStyle="1">
    <w:name w:val="List Table 6 Colorful - Accent 1"/>
    <w:basedOn w:val="692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5" w:customStyle="1">
    <w:name w:val="List Table 6 Colorful - Accent 2"/>
    <w:basedOn w:val="692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6" w:customStyle="1">
    <w:name w:val="List Table 6 Colorful - Accent 3"/>
    <w:basedOn w:val="692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7" w:customStyle="1">
    <w:name w:val="List Table 6 Colorful - Accent 4"/>
    <w:basedOn w:val="692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8" w:customStyle="1">
    <w:name w:val="List Table 6 Colorful - Accent 5"/>
    <w:basedOn w:val="692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9" w:customStyle="1">
    <w:name w:val="List Table 6 Colorful - Accent 6"/>
    <w:basedOn w:val="692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0" w:customStyle="1">
    <w:name w:val="List Table 7 Colorful"/>
    <w:basedOn w:val="69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1"/>
    <w:basedOn w:val="692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7 Colorful - Accent 2"/>
    <w:basedOn w:val="692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7 Colorful - Accent 3"/>
    <w:basedOn w:val="692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7 Colorful - Accent 4"/>
    <w:basedOn w:val="692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7 Colorful - Accent 5"/>
    <w:basedOn w:val="692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7 Colorful - Accent 6"/>
    <w:basedOn w:val="692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ned - Accent"/>
    <w:basedOn w:val="69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8" w:customStyle="1">
    <w:name w:val="Lined - Accent 1"/>
    <w:basedOn w:val="69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9" w:customStyle="1">
    <w:name w:val="Lined - Accent 2"/>
    <w:basedOn w:val="69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0" w:customStyle="1">
    <w:name w:val="Lined - Accent 3"/>
    <w:basedOn w:val="69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1" w:customStyle="1">
    <w:name w:val="Lined - Accent 4"/>
    <w:basedOn w:val="69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2" w:customStyle="1">
    <w:name w:val="Lined - Accent 5"/>
    <w:basedOn w:val="69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3" w:customStyle="1">
    <w:name w:val="Lined - Accent 6"/>
    <w:basedOn w:val="69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4" w:customStyle="1">
    <w:name w:val="Bordered &amp; Lined - Accent"/>
    <w:basedOn w:val="69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5" w:customStyle="1">
    <w:name w:val="Bordered &amp; Lined - Accent 1"/>
    <w:basedOn w:val="69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6" w:customStyle="1">
    <w:name w:val="Bordered &amp; Lined - Accent 2"/>
    <w:basedOn w:val="69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7" w:customStyle="1">
    <w:name w:val="Bordered &amp; Lined - Accent 3"/>
    <w:basedOn w:val="69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8" w:customStyle="1">
    <w:name w:val="Bordered &amp; Lined - Accent 4"/>
    <w:basedOn w:val="69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9" w:customStyle="1">
    <w:name w:val="Bordered &amp; Lined - Accent 5"/>
    <w:basedOn w:val="69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0" w:customStyle="1">
    <w:name w:val="Bordered &amp; Lined - Accent 6"/>
    <w:basedOn w:val="69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1" w:customStyle="1">
    <w:name w:val="Bordered"/>
    <w:basedOn w:val="692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2" w:customStyle="1">
    <w:name w:val="Bordered - Accent 1"/>
    <w:basedOn w:val="69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3" w:customStyle="1">
    <w:name w:val="Bordered - Accent 2"/>
    <w:basedOn w:val="69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4" w:customStyle="1">
    <w:name w:val="Bordered - Accent 3"/>
    <w:basedOn w:val="69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5" w:customStyle="1">
    <w:name w:val="Bordered - Accent 4"/>
    <w:basedOn w:val="69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6" w:customStyle="1">
    <w:name w:val="Bordered - Accent 5"/>
    <w:basedOn w:val="69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7" w:customStyle="1">
    <w:name w:val="Bordered - Accent 6"/>
    <w:basedOn w:val="69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8">
    <w:name w:val="footnote text"/>
    <w:basedOn w:val="681"/>
    <w:link w:val="859"/>
    <w:uiPriority w:val="99"/>
    <w:semiHidden/>
    <w:unhideWhenUsed/>
    <w:pPr>
      <w:spacing w:after="40"/>
    </w:pPr>
    <w:rPr>
      <w:sz w:val="18"/>
    </w:rPr>
  </w:style>
  <w:style w:type="character" w:styleId="859" w:customStyle="1">
    <w:name w:val="Текст сноски Знак"/>
    <w:link w:val="858"/>
    <w:uiPriority w:val="99"/>
    <w:rPr>
      <w:sz w:val="18"/>
    </w:rPr>
  </w:style>
  <w:style w:type="character" w:styleId="860">
    <w:name w:val="footnote reference"/>
    <w:basedOn w:val="691"/>
    <w:uiPriority w:val="99"/>
    <w:unhideWhenUsed/>
    <w:rPr>
      <w:vertAlign w:val="superscript"/>
    </w:rPr>
  </w:style>
  <w:style w:type="paragraph" w:styleId="861">
    <w:name w:val="endnote text"/>
    <w:basedOn w:val="681"/>
    <w:link w:val="862"/>
    <w:uiPriority w:val="99"/>
    <w:semiHidden/>
    <w:unhideWhenUsed/>
    <w:rPr>
      <w:sz w:val="20"/>
    </w:rPr>
  </w:style>
  <w:style w:type="character" w:styleId="862" w:customStyle="1">
    <w:name w:val="Текст концевой сноски Знак"/>
    <w:link w:val="861"/>
    <w:uiPriority w:val="99"/>
    <w:rPr>
      <w:sz w:val="20"/>
    </w:rPr>
  </w:style>
  <w:style w:type="character" w:styleId="863">
    <w:name w:val="endnote reference"/>
    <w:basedOn w:val="691"/>
    <w:uiPriority w:val="99"/>
    <w:semiHidden/>
    <w:unhideWhenUsed/>
    <w:rPr>
      <w:vertAlign w:val="superscript"/>
    </w:rPr>
  </w:style>
  <w:style w:type="paragraph" w:styleId="864">
    <w:name w:val="toc 1"/>
    <w:basedOn w:val="681"/>
    <w:next w:val="681"/>
    <w:uiPriority w:val="39"/>
    <w:unhideWhenUsed/>
    <w:pPr>
      <w:spacing w:after="57"/>
    </w:pPr>
  </w:style>
  <w:style w:type="paragraph" w:styleId="865">
    <w:name w:val="toc 2"/>
    <w:basedOn w:val="681"/>
    <w:next w:val="681"/>
    <w:uiPriority w:val="39"/>
    <w:unhideWhenUsed/>
    <w:pPr>
      <w:ind w:left="283"/>
      <w:spacing w:after="57"/>
    </w:pPr>
  </w:style>
  <w:style w:type="paragraph" w:styleId="866">
    <w:name w:val="toc 3"/>
    <w:basedOn w:val="681"/>
    <w:next w:val="681"/>
    <w:uiPriority w:val="39"/>
    <w:unhideWhenUsed/>
    <w:pPr>
      <w:ind w:left="567"/>
      <w:spacing w:after="57"/>
    </w:pPr>
  </w:style>
  <w:style w:type="paragraph" w:styleId="867">
    <w:name w:val="toc 4"/>
    <w:basedOn w:val="681"/>
    <w:next w:val="681"/>
    <w:uiPriority w:val="39"/>
    <w:unhideWhenUsed/>
    <w:pPr>
      <w:ind w:left="850"/>
      <w:spacing w:after="57"/>
    </w:pPr>
  </w:style>
  <w:style w:type="paragraph" w:styleId="868">
    <w:name w:val="toc 5"/>
    <w:basedOn w:val="681"/>
    <w:next w:val="681"/>
    <w:uiPriority w:val="39"/>
    <w:unhideWhenUsed/>
    <w:pPr>
      <w:ind w:left="1134"/>
      <w:spacing w:after="57"/>
    </w:pPr>
  </w:style>
  <w:style w:type="paragraph" w:styleId="869">
    <w:name w:val="toc 6"/>
    <w:basedOn w:val="681"/>
    <w:next w:val="681"/>
    <w:uiPriority w:val="39"/>
    <w:unhideWhenUsed/>
    <w:pPr>
      <w:ind w:left="1417"/>
      <w:spacing w:after="57"/>
    </w:pPr>
  </w:style>
  <w:style w:type="paragraph" w:styleId="870">
    <w:name w:val="toc 7"/>
    <w:basedOn w:val="681"/>
    <w:next w:val="681"/>
    <w:uiPriority w:val="39"/>
    <w:unhideWhenUsed/>
    <w:pPr>
      <w:ind w:left="1701"/>
      <w:spacing w:after="57"/>
    </w:pPr>
  </w:style>
  <w:style w:type="paragraph" w:styleId="871">
    <w:name w:val="toc 8"/>
    <w:basedOn w:val="681"/>
    <w:next w:val="681"/>
    <w:uiPriority w:val="39"/>
    <w:unhideWhenUsed/>
    <w:pPr>
      <w:ind w:left="1984"/>
      <w:spacing w:after="57"/>
    </w:pPr>
  </w:style>
  <w:style w:type="paragraph" w:styleId="872">
    <w:name w:val="toc 9"/>
    <w:basedOn w:val="681"/>
    <w:next w:val="681"/>
    <w:uiPriority w:val="39"/>
    <w:unhideWhenUsed/>
    <w:pPr>
      <w:ind w:left="2268"/>
      <w:spacing w:after="57"/>
    </w:pPr>
  </w:style>
  <w:style w:type="paragraph" w:styleId="873">
    <w:name w:val="TOC Heading"/>
    <w:uiPriority w:val="39"/>
    <w:unhideWhenUsed/>
  </w:style>
  <w:style w:type="paragraph" w:styleId="874">
    <w:name w:val="table of figures"/>
    <w:basedOn w:val="681"/>
    <w:next w:val="681"/>
    <w:uiPriority w:val="99"/>
    <w:unhideWhenUsed/>
  </w:style>
  <w:style w:type="character" w:styleId="875">
    <w:name w:val="Hyperlink"/>
    <w:basedOn w:val="691"/>
    <w:uiPriority w:val="99"/>
    <w:unhideWhenUsed/>
    <w:rPr>
      <w:color w:val="0000ff"/>
      <w:u w:val="single"/>
    </w:rPr>
  </w:style>
  <w:style w:type="paragraph" w:styleId="876">
    <w:name w:val="Header"/>
    <w:basedOn w:val="681"/>
    <w:link w:val="877"/>
    <w:pPr>
      <w:tabs>
        <w:tab w:val="center" w:pos="4153" w:leader="none"/>
        <w:tab w:val="right" w:pos="8306" w:leader="none"/>
      </w:tabs>
    </w:pPr>
    <w:rPr>
      <w:rFonts w:eastAsia="Times New Roman"/>
      <w:sz w:val="24"/>
      <w:szCs w:val="24"/>
    </w:rPr>
  </w:style>
  <w:style w:type="character" w:styleId="877" w:customStyle="1">
    <w:name w:val="Верхний колонтитул Знак"/>
    <w:basedOn w:val="691"/>
    <w:link w:val="876"/>
    <w:rPr>
      <w:rFonts w:eastAsia="Times New Roman"/>
      <w:sz w:val="24"/>
      <w:szCs w:val="24"/>
    </w:rPr>
  </w:style>
  <w:style w:type="paragraph" w:styleId="878" w:customStyle="1">
    <w:name w:val="ФИО"/>
    <w:basedOn w:val="681"/>
    <w:link w:val="879"/>
    <w:rPr>
      <w:rFonts w:eastAsia="Times New Roman"/>
      <w:b/>
      <w:sz w:val="24"/>
      <w:szCs w:val="24"/>
    </w:rPr>
  </w:style>
  <w:style w:type="character" w:styleId="879" w:customStyle="1">
    <w:name w:val="ФИО Знак"/>
    <w:link w:val="878"/>
    <w:rPr>
      <w:rFonts w:eastAsia="Times New Roman"/>
      <w:b/>
      <w:sz w:val="24"/>
      <w:szCs w:val="24"/>
    </w:rPr>
  </w:style>
  <w:style w:type="paragraph" w:styleId="880">
    <w:name w:val="Balloon Text"/>
    <w:basedOn w:val="681"/>
    <w:link w:val="881"/>
    <w:uiPriority w:val="99"/>
    <w:semiHidden/>
    <w:unhideWhenUsed/>
    <w:rPr>
      <w:rFonts w:ascii="Tahoma" w:hAnsi="Tahoma" w:cs="Tahoma"/>
      <w:sz w:val="16"/>
      <w:szCs w:val="16"/>
    </w:rPr>
  </w:style>
  <w:style w:type="character" w:styleId="881" w:customStyle="1">
    <w:name w:val="Текст выноски Знак"/>
    <w:basedOn w:val="691"/>
    <w:link w:val="880"/>
    <w:uiPriority w:val="99"/>
    <w:semiHidden/>
    <w:rPr>
      <w:rFonts w:ascii="Tahoma" w:hAnsi="Tahoma" w:cs="Tahoma"/>
      <w:sz w:val="16"/>
      <w:szCs w:val="16"/>
    </w:rPr>
  </w:style>
  <w:style w:type="paragraph" w:styleId="882">
    <w:name w:val="List Paragraph"/>
    <w:basedOn w:val="681"/>
    <w:uiPriority w:val="34"/>
    <w:qFormat/>
    <w:pPr>
      <w:contextualSpacing/>
      <w:ind w:left="720"/>
    </w:pPr>
  </w:style>
  <w:style w:type="table" w:styleId="883">
    <w:name w:val="Table Grid"/>
    <w:basedOn w:val="69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4" w:customStyle="1">
    <w:name w:val="Default"/>
    <w:rPr>
      <w:color w:val="000000"/>
      <w:sz w:val="24"/>
      <w:szCs w:val="24"/>
    </w:rPr>
  </w:style>
  <w:style w:type="paragraph" w:styleId="885">
    <w:name w:val="Body Text"/>
    <w:basedOn w:val="681"/>
    <w:link w:val="886"/>
    <w:rPr>
      <w:rFonts w:eastAsia="Times New Roman"/>
      <w:bCs/>
      <w:sz w:val="32"/>
      <w:szCs w:val="24"/>
    </w:rPr>
  </w:style>
  <w:style w:type="character" w:styleId="886" w:customStyle="1">
    <w:name w:val="Основной текст Знак"/>
    <w:basedOn w:val="691"/>
    <w:link w:val="885"/>
    <w:rPr>
      <w:rFonts w:eastAsia="Times New Roman"/>
      <w:bCs/>
      <w:sz w:val="32"/>
      <w:szCs w:val="24"/>
    </w:rPr>
  </w:style>
  <w:style w:type="character" w:styleId="887">
    <w:name w:val="FollowedHyperlink"/>
    <w:basedOn w:val="691"/>
    <w:uiPriority w:val="99"/>
    <w:semiHidden/>
    <w:unhideWhenUsed/>
    <w:rPr>
      <w:color w:val="800080" w:themeColor="followedHyperlink"/>
      <w:u w:val="single"/>
    </w:rPr>
  </w:style>
  <w:style w:type="character" w:styleId="888" w:customStyle="1">
    <w:name w:val="notice-header_title_text"/>
    <w:basedOn w:val="691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dugsto@gov70.ru" TargetMode="External"/><Relationship Id="rId11" Type="http://schemas.openxmlformats.org/officeDocument/2006/relationships/hyperlink" Target="mailto:fai@gki.tomsk.ru" TargetMode="External"/><Relationship Id="rId12" Type="http://schemas.openxmlformats.org/officeDocument/2006/relationships/hyperlink" Target="http://www.torgi.gov.ru/" TargetMode="External"/><Relationship Id="rId13" Type="http://schemas.openxmlformats.org/officeDocument/2006/relationships/hyperlink" Target="https://www.torgi.gov.&#1075;u" TargetMode="External"/><Relationship Id="rId14" Type="http://schemas.openxmlformats.org/officeDocument/2006/relationships/hyperlink" Target="https://www.torgi.gov.&#1075;u" TargetMode="External"/><Relationship Id="rId15" Type="http://schemas.openxmlformats.org/officeDocument/2006/relationships/hyperlink" Target="https://dugs.tomsk.gov.ru/privatizatsija-prodazha-gosudarstvennogo-imuschestv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8AA9B-EF39-4386-8EBA-0908558ED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kovalevaes@dugs.local</cp:lastModifiedBy>
  <cp:revision>20</cp:revision>
  <dcterms:created xsi:type="dcterms:W3CDTF">2025-10-24T06:27:00Z</dcterms:created>
  <dcterms:modified xsi:type="dcterms:W3CDTF">2026-09-07T10:00:46Z</dcterms:modified>
</cp:coreProperties>
</file>