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ИНФОРМАЦИОННОЕ СООБЩЕНИЕ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spacing w:line="12" w:lineRule="exac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23"/>
          <w:szCs w:val="23"/>
        </w:rPr>
      </w:pPr>
      <w:r>
        <w:rPr>
          <w:rFonts w:ascii="PT Astra Serif" w:hAnsi="PT Astra Serif" w:eastAsia="Times New Roman"/>
          <w:b/>
          <w:bCs/>
          <w:sz w:val="23"/>
          <w:szCs w:val="23"/>
        </w:rPr>
        <w:t xml:space="preserve">о проведении открытого аукциона в электронной форме по продаже государственного имущества Томской области</w:t>
      </w:r>
      <w:r>
        <w:rPr>
          <w:rFonts w:ascii="PT Astra Serif" w:hAnsi="PT Astra Serif" w:eastAsia="Times New Roman"/>
          <w:b/>
          <w:bCs/>
          <w:sz w:val="23"/>
          <w:szCs w:val="23"/>
        </w:rPr>
      </w:r>
      <w:r>
        <w:rPr>
          <w:rFonts w:ascii="PT Astra Serif" w:hAnsi="PT Astra Serif" w:eastAsia="Times New Roman"/>
          <w:b/>
          <w:bCs/>
          <w:sz w:val="23"/>
          <w:szCs w:val="23"/>
        </w:rPr>
      </w:r>
    </w:p>
    <w:p>
      <w:pPr>
        <w:ind w:left="864" w:right="680"/>
        <w:jc w:val="center"/>
        <w:spacing w:line="250" w:lineRule="auto"/>
        <w:tabs>
          <w:tab w:val="left" w:pos="1047" w:leader="none"/>
        </w:tabs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ind w:left="120" w:right="-17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Cs/>
          <w:color w:val="c00000"/>
          <w:sz w:val="24"/>
          <w:szCs w:val="24"/>
          <w:u w:val="single"/>
        </w:rPr>
        <w:t xml:space="preserve">Внимание!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Данное информационное сообщение является публичной офертой для заключения</w:t>
      </w:r>
      <w:r>
        <w:rPr>
          <w:rFonts w:ascii="PT Astra Serif" w:hAnsi="PT Astra Serif" w:eastAsia="Times New Roman"/>
          <w:bCs/>
          <w:color w:val="c00000"/>
          <w:sz w:val="24"/>
          <w:szCs w:val="24"/>
        </w:rPr>
        <w:t xml:space="preserve"> </w:t>
      </w:r>
      <w:r>
        <w:rPr>
          <w:rFonts w:ascii="PT Astra Serif" w:hAnsi="PT Astra Serif" w:eastAsia="Times New Roman"/>
          <w:bCs/>
          <w:color w:val="000000"/>
          <w:sz w:val="24"/>
          <w:szCs w:val="24"/>
        </w:rPr>
        <w:t xml:space="preserve"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678"/>
        <w:ind w:right="360"/>
        <w:spacing w:before="0" w:after="0"/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pPr>
      <w:r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Номер процедуры на сайте РТС-Тендер: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№ 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  <w:t xml:space="preserve">21000022460000000133</w:t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  <w:r>
        <w:rPr>
          <w:rFonts w:ascii="PT Astra Serif" w:hAnsi="PT Astra Serif" w:eastAsia="PT Astra Serif" w:cs="PT Astra Serif"/>
          <w:b/>
          <w:bCs/>
          <w:sz w:val="24"/>
          <w:szCs w:val="24"/>
          <w:shd w:val="clear" w:color="auto" w:fill="ffffff"/>
        </w:rPr>
      </w:r>
    </w:p>
    <w:p>
      <w:pPr>
        <w:pStyle w:val="678"/>
        <w:ind w:right="360"/>
        <w:spacing w:before="0" w:after="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1. Общие сведения о продаже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tbl>
      <w:tblPr>
        <w:tblStyle w:val="879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1.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Наименование государственного органа, принявшего решение об условиях приватизации имущества, реквизиты указанного решения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line="263" w:lineRule="exact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государственного органа,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принявшего решение об условиях приватизации: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Правительство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Реквизиты решения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об условиях приватизации имущества: распоряжение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Правительства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Томской области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10 сентября 2026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yellow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года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№ 295-рп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«Об услови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ях приватизации государственного имущества Томской области»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Собственник имущества: Томская область в лице Департамента по управлению государственной собственностью Томской области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7513" w:type="dxa"/>
            <w:vAlign w:val="bottom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634034, г. Томск, пр. Кирова, 20, телефон: +7(3822) 551-700, 551-703, 551-711, 551-712, адрес электронной почты: </w:t>
            </w:r>
            <w:hyperlink r:id="rId10" w:tooltip="mailto:dugsto@gov70.ru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dugsto@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 xml:space="preserve">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</w:t>
            </w:r>
            <w:hyperlink r:id="rId11" w:tooltip="mailto:fai@gki.tomsk.ru" w:history="1"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fai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</w:rPr>
                <w:t xml:space="preserve">@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dugs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gov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70</w:t>
              </w:r>
              <w:r>
                <w:rPr>
                  <w:rFonts w:ascii="PT Astra Serif" w:hAnsi="PT Astra Serif"/>
                  <w:sz w:val="24"/>
                  <w:szCs w:val="24"/>
                </w:rPr>
                <w:t xml:space="preserve">.</w:t>
              </w:r>
              <w:r>
                <w:rPr>
                  <w:rFonts w:ascii="PT Astra Serif" w:hAnsi="PT Astra Serif"/>
                  <w:sz w:val="24"/>
                  <w:szCs w:val="24"/>
                  <w:lang w:val="en-US"/>
                </w:rPr>
                <w:t xml:space="preserve">r</w:t>
              </w:r>
              <w:r>
                <w:rPr>
                  <w:rStyle w:val="871"/>
                  <w:rFonts w:ascii="PT Astra Serif" w:hAnsi="PT Astra Serif" w:eastAsia="Times New Roman"/>
                  <w:color w:val="auto"/>
                  <w:sz w:val="24"/>
                  <w:szCs w:val="24"/>
                  <w:u w:val="none"/>
                  <w:lang w:val="en-US"/>
                </w:rPr>
                <w:t xml:space="preserve">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ktn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u, </w:t>
            </w:r>
            <w:r>
              <w:rPr>
                <w:rFonts w:ascii="PT Astra Serif" w:hAnsi="PT Astra Serif" w:eastAsia="Times New Roman"/>
                <w:sz w:val="24"/>
                <w:szCs w:val="24"/>
                <w:lang w:val="en-US"/>
              </w:rPr>
              <w:t xml:space="preserve">kes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@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dugs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gov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lang w:val="en-US"/>
              </w:rPr>
              <w:t xml:space="preserve">r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u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Организатор торгов -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(www.rts-tender.ru)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Место нахождения и почтовый адрес: 121151, г. Москва, набережная Тараса Шевченко, д.23А,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контактные телефоны: 8 (499) 653-77-00, 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дрес электронной почты: iSupport@rts-tender.ru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Представительство в Томской области: адрес: 634029, г. Томск, 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пр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.Ф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рунзе</w:t>
            </w:r>
            <w:r>
              <w:rPr>
                <w:rStyle w:val="871"/>
                <w:rFonts w:ascii="PT Astra Serif" w:hAnsi="PT Astra Serif" w:eastAsia="Times New Roman"/>
                <w:color w:val="auto"/>
                <w:sz w:val="24"/>
                <w:szCs w:val="24"/>
                <w:u w:val="none"/>
              </w:rPr>
              <w:t xml:space="preserve">, д. 20, офис 308, телефон: +7 (3822) 98-41-99, адрес электронной почты: a.polyakov@rts-tender.ru, a.malyshev@rts-tender.ru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Наименование и характеристика имущества</w:t>
            </w:r>
            <w:r>
              <w:rPr>
                <w:rFonts w:ascii="PT Astra Serif" w:hAnsi="PT Astra Serif"/>
                <w:sz w:val="20"/>
                <w:szCs w:val="20"/>
              </w:rPr>
            </w:r>
            <w:r>
              <w:rPr>
                <w:rFonts w:ascii="PT Astra Serif" w:hAnsi="PT Astra Serif"/>
                <w:sz w:val="20"/>
                <w:szCs w:val="20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Автобус ПАЗ 32053-70 для перевозки детей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категория ТС D,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год изготовления 2014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паспорт транспорт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ного средства 52 ОВ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625771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от 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.11.2014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идентификационн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ый номер (VIN)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X1M3205BXE0003241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кузов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X1M3205BXE0003241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шасси (рама) №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отсутствует, м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ощность двигателя 122,4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л.с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. / 90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кВт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модель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№ двигателя 523420 Е1005126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тип двигателя бензиновый, рабочий объем двигат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еля 4670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куб. см, цвет кузова желтый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, организаци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я изготовитель ТС (страна) ООО «Павловский автобусный завод», Россия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(далее - имущество).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hd w:val="clear" w:color="auto" w:fill="ffffff"/>
              <w:widowControl w:val="off"/>
              <w:tabs>
                <w:tab w:val="left" w:pos="1134" w:leader="none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имущество не является предметом спора и не находится под арестом, не является предметом залога.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3.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Способ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Аукцион в электронной форме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8"/>
        </w:trPr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4.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Начальная цена продажи имущества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410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(четыреста десять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с учетом налога на добавленную стоимость (далее – НДС)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Форма подачи предложений о цене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Открытая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Условия и сроки платежа,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30 (тридцати) рабочих дней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со дня заключения договора купли-продажи.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Получатель: ИНН 7017018464, КПП 701701001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(Департамент по управлению государственной собственностью Томской области) лицевой счет 04652001360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казначейский счет № 03100643000000016500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pStyle w:val="881"/>
              <w:rPr>
                <w:rFonts w:ascii="PT Astra Serif" w:hAnsi="PT Astra Serif"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единый казначейский счет № 40102810345370000130</w:t>
            </w:r>
            <w:r>
              <w:rPr>
                <w:rFonts w:ascii="PT Astra Serif" w:hAnsi="PT Astra Serif"/>
                <w:sz w:val="24"/>
              </w:rPr>
            </w:r>
            <w:r>
              <w:rPr>
                <w:rFonts w:ascii="PT Astra Serif" w:hAnsi="PT Astra Serif"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ОКЦ №1 Сибирского ГУ Банка России//УФК по Томской области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pStyle w:val="881"/>
              <w:rPr>
                <w:rFonts w:ascii="PT Astra Serif" w:hAnsi="PT Astra Serif"/>
                <w:b/>
                <w:sz w:val="24"/>
              </w:rPr>
            </w:pPr>
            <w:r>
              <w:rPr>
                <w:rFonts w:ascii="PT Astra Serif" w:hAnsi="PT Astra Serif"/>
                <w:sz w:val="24"/>
              </w:rPr>
              <w:t xml:space="preserve">БИК 045004130</w:t>
            </w:r>
            <w:r>
              <w:rPr>
                <w:rFonts w:ascii="PT Astra Serif" w:hAnsi="PT Astra Serif"/>
                <w:b/>
                <w:sz w:val="24"/>
              </w:rPr>
              <w:t xml:space="preserve"> </w:t>
            </w:r>
            <w:r>
              <w:rPr>
                <w:rFonts w:ascii="PT Astra Serif" w:hAnsi="PT Astra Serif"/>
                <w:sz w:val="24"/>
              </w:rPr>
              <w:t xml:space="preserve">ОКТМО 69701000 </w:t>
            </w:r>
            <w:r>
              <w:rPr>
                <w:rFonts w:ascii="PT Astra Serif" w:hAnsi="PT Astra Serif"/>
                <w:b/>
                <w:sz w:val="24"/>
              </w:rPr>
            </w:r>
            <w:r>
              <w:rPr>
                <w:rFonts w:ascii="PT Astra Serif" w:hAnsi="PT Astra Serif"/>
                <w:b/>
                <w:sz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Код бюджетной классификации (КБК):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80111413020020000410.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Победитель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самостоятельно исчисляет и уплачивает НДС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 соответствии с налоговым законодательством.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задатка, срок и порядок его внесения, необходимые реквизиты счетов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Размер задатка: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u w:val="single"/>
              </w:rPr>
              <w:t xml:space="preserve">41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сорок одна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тысяча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(10% начальной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Задаток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должен поступить не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позднее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12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.10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.202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 следующим реквизитам: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Получатель ООО «РТС-тендер»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Филиал «Корпоративный» ПАО «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Совкомбанк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»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40702810512030016362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30101810445250000360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 xml:space="preserve">044525360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ИНН 7710357167, КПП 773001001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№ аналитического счета _________, без НДС.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Документом, подтверждающим поступление задатка на счет,  является выписка с этого счета.</w:t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  <w:r>
              <w:rPr>
                <w:rFonts w:ascii="PT Astra Serif" w:hAnsi="PT Astra Serif"/>
                <w:b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Величина повышения начальной цены  («шаг аукциона»)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20 5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(двадцать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тысяч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пятьсот</w:t>
            </w:r>
            <w:r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рублей 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00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t xml:space="preserve"> копеек</w:t>
            </w:r>
            <w:r>
              <w:rPr>
                <w:rFonts w:ascii="PT Astra Serif" w:hAnsi="PT Astra Serif"/>
                <w:b/>
                <w:sz w:val="24"/>
                <w:szCs w:val="24"/>
                <w:u w:val="single"/>
              </w:rPr>
              <w:br/>
            </w:r>
            <w:r>
              <w:rPr>
                <w:rFonts w:ascii="PT Astra Serif" w:hAnsi="PT Astra Serif"/>
                <w:sz w:val="24"/>
                <w:szCs w:val="24"/>
              </w:rPr>
              <w:t xml:space="preserve">(5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% начальной</w:t>
            </w:r>
            <w:r>
              <w:rPr>
                <w:rFonts w:ascii="PT Astra Serif" w:hAnsi="PT Astra Serif"/>
                <w:sz w:val="24"/>
              </w:rPr>
              <w:t xml:space="preserve"> цены).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9.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Порядок, место, даты начала и окончания 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подачи заявок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установлен постановлением Правительства Российской Федерации от 27.08.2012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подачи заявок: 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электронная торговая площадк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а ООО</w:t>
            </w:r>
            <w:r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www.rts-tender.ru.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Одно лицо имеет право подать только одну заявку.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начала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сентября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09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часов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00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continue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Дата окончания подачи заявок: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18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часов 00 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10.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Исчерпывающий перечень представляемых участниками торгов документов и требования к их оформлению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в форме электронных документов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Юридические лица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представляют следующие документы: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заверенные копии учредительных документов;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содержащий сведения о доле Российской Фе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документ, который подтверждает полномочия руководителя юрид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Физические лица представляют следующие документы: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заявку на участие в аукционе установленной формы;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-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копию всех листов документа, удостоверяющего личность;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опись  представленных документов.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 если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ind w:firstLine="459"/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Вс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11.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заключения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Не ранее чем через десять дней и не позднее двадцати дней со дня размещения на </w:t>
            </w:r>
            <w:hyperlink r:id="rId12" w:tooltip="http://www.torgi.gov.ru/" w:history="1">
              <w:r>
                <w:rPr>
                  <w:rStyle w:val="871"/>
                  <w:rFonts w:ascii="PT Astra Serif" w:hAnsi="PT Astra Serif"/>
                  <w:color w:val="auto"/>
                  <w:sz w:val="24"/>
                  <w:szCs w:val="24"/>
                  <w:u w:val="none"/>
                  <w:shd w:val="clear" w:color="auto" w:fill="ffffff"/>
                </w:rPr>
                <w:t xml:space="preserve">официальном сайте</w:t>
              </w:r>
            </w:hyperlink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в сети «Интернет» </w:t>
            </w:r>
            <w:hyperlink r:id="rId13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Style w:val="871"/>
                <w:rFonts w:ascii="PT Astra Serif" w:hAnsi="PT Astra Serif" w:eastAsia="Times New Roman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  <w:shd w:val="clear" w:color="auto" w:fill="ffffff"/>
              </w:rPr>
              <w:t xml:space="preserve">протокола об итогах аукциона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12.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ознакомления покупателей с иной информацией, условиями договора купли-продажи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 Томск, пр. Кирова, 20, кабинет 2, 12, номера телефонов: (3822) 551-712, 551-711, 551-703.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Проект договора купли-продажи имущества содержится в документации об аукционе.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4" w:tooltip="https://www.torgi.gov.гu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https://www.torgi.gov.гu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5" w:tooltip="https://dugs.tomsk.gov.ru/privatizatsija-prodazha-gosudarstvennogo-imuschestva" w:history="1">
              <w:r>
                <w:rPr>
                  <w:rStyle w:val="871"/>
                  <w:rFonts w:ascii="PT Astra Serif" w:hAnsi="PT Astra Serif" w:eastAsia="Times New Roman"/>
                  <w:sz w:val="24"/>
                  <w:szCs w:val="24"/>
                </w:rPr>
                <w:t xml:space="preserve">https://dugs.tomsk.gov.ru</w:t>
              </w:r>
            </w:hyperlink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13. 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Ограничения участия отдельных категорий физических лиц и юридических лиц в приватизации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Покупателями государственного имущества могут быть любые физические и юридические лица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за исключением: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государственных и муниципальных унитарных предприятий, государственных и муниципальных учреждений;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бенефициарных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Федерации;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Понятие «контролирующее лицо» используется в том же значении, что и в ста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бенефициарный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В случае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14.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День определения участников торгов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14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202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 w:eastAsia="Times New Roman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Продавец рассматривает заявки и документы пре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15.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Порядок определения победителя аукциона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заявляются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 участниками аукциона открыто в ходе проведения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В случае отказа лица, признанного единственным участником аукциона, от заключения договора аукцион признается несостоявшимся.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16.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и срок подведения итогов продажи государственного имущества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b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Место подведения итогов: электронная торговая площадк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а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br/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ООО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 «РТС – тендер»  www.rts-tender.ru.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</w:r>
          </w:p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Срок подведения итогов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: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15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октября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02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6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года в 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1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часов 00</w:t>
            </w:r>
            <w:r>
              <w:rPr>
                <w:rFonts w:ascii="PT Astra Serif" w:hAnsi="PT Astra Serif" w:eastAsia="Times New Roman"/>
                <w:b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минут по томскому времени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W w:w="556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17.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обо всех предыдущих торгах по продаже государственного имущества, объявленных в течение года, предшествующего его продаже, и об итогах торгов по продаже имущества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textDirection w:val="lrTb"/>
            <w:noWrap w:val="false"/>
          </w:tcPr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Торги по продаже государственного имущества проводятся впервые.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  <w:p>
            <w:pPr>
              <w:jc w:val="both"/>
              <w:spacing w:before="100" w:beforeAutospacing="1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55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  <w:t xml:space="preserve">18.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2671" w:type="dxa"/>
            <w:vMerge w:val="restart"/>
            <w:textDirection w:val="lrTb"/>
            <w:noWrap w:val="false"/>
          </w:tcPr>
          <w:p>
            <w:pP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b/>
                <w:sz w:val="24"/>
                <w:szCs w:val="24"/>
              </w:rPr>
              <w:t xml:space="preserve">Сведения об установлении публичного сервитута и (или) иных ограничений</w:t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b/>
                <w:bCs/>
                <w:sz w:val="24"/>
                <w:szCs w:val="24"/>
              </w:rPr>
            </w:r>
          </w:p>
        </w:tc>
        <w:tc>
          <w:tcPr>
            <w:tcW w:w="751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PT Astra Serif" w:hAnsi="PT Astra Serif" w:eastAsia="Times New Roman"/>
                <w:sz w:val="24"/>
                <w:szCs w:val="24"/>
              </w:rPr>
            </w:pPr>
            <w:r>
              <w:rPr>
                <w:rFonts w:ascii="PT Astra Serif" w:hAnsi="PT Astra Serif" w:eastAsia="Times New Roman"/>
                <w:sz w:val="24"/>
                <w:szCs w:val="24"/>
              </w:rPr>
              <w:t xml:space="preserve">отсутствуют</w:t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  <w:r>
              <w:rPr>
                <w:rFonts w:ascii="PT Astra Serif" w:hAnsi="PT Astra Serif" w:eastAsia="Times New Roman"/>
                <w:sz w:val="24"/>
                <w:szCs w:val="24"/>
              </w:rPr>
            </w:r>
          </w:p>
        </w:tc>
      </w:tr>
    </w:tbl>
    <w:p>
      <w:pPr>
        <w:jc w:val="center"/>
        <w:rPr>
          <w:rFonts w:ascii="PT Astra Serif" w:hAnsi="PT Astra Serif" w:eastAsia="Times New Roman"/>
          <w:b/>
          <w:bCs/>
          <w:sz w:val="16"/>
          <w:szCs w:val="16"/>
        </w:rPr>
      </w:pP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  <w:r>
        <w:rPr>
          <w:rFonts w:ascii="PT Astra Serif" w:hAnsi="PT Astra Serif" w:eastAsia="Times New Roman"/>
          <w:b/>
          <w:bCs/>
          <w:sz w:val="16"/>
          <w:szCs w:val="16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2. Общие положения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jc w:val="center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16"/>
          <w:szCs w:val="16"/>
        </w:rPr>
      </w:r>
    </w:p>
    <w:p>
      <w:pPr>
        <w:ind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Продажа находящегося в государственной собственности Томской области имущества проводится в соответствии 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с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27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Федеральным законом от 21 декабря 2001 года № 178-ФЗ «О приватизации государственного и муниципального имущества»;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0"/>
        <w:jc w:val="both"/>
        <w:tabs>
          <w:tab w:val="left" w:pos="840" w:leader="none"/>
          <w:tab w:val="left" w:pos="2740" w:leader="none"/>
          <w:tab w:val="left" w:pos="4500" w:leader="none"/>
          <w:tab w:val="left" w:pos="5940" w:leader="none"/>
          <w:tab w:val="left" w:pos="7320" w:leader="none"/>
          <w:tab w:val="left" w:pos="7800" w:leader="none"/>
          <w:tab w:val="left" w:pos="8280" w:leader="none"/>
          <w:tab w:val="left" w:pos="9280" w:leader="none"/>
          <w:tab w:val="left" w:pos="1000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- постановлением Правительства Российской Федерации от 27.08.2012</w:t>
      </w:r>
      <w:r>
        <w:rPr>
          <w:rFonts w:ascii="PT Astra Serif" w:hAnsi="PT Astra Serif" w:eastAsia="Times New Roman"/>
          <w:sz w:val="23"/>
          <w:szCs w:val="23"/>
        </w:rPr>
        <w:t xml:space="preserve"> № </w:t>
      </w:r>
      <w:r>
        <w:rPr>
          <w:rFonts w:ascii="PT Astra Serif" w:hAnsi="PT Astra Serif" w:eastAsia="Times New Roman"/>
          <w:sz w:val="24"/>
          <w:szCs w:val="24"/>
        </w:rPr>
        <w:t xml:space="preserve">860 «Об организации и проведении продажи государственного и муниципального имущества в электронной форме»;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567"/>
        <w:jc w:val="both"/>
        <w:spacing w:line="230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Законом Томской области от 12 июля 2018 года № 80-ОЗ «О приватизации государственного имущества Томской области»;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firstLine="567"/>
        <w:jc w:val="both"/>
        <w:spacing w:line="234" w:lineRule="auto"/>
        <w:tabs>
          <w:tab w:val="left" w:pos="852" w:leader="none"/>
        </w:tabs>
        <w:rPr>
          <w:rFonts w:ascii="PT Astra Serif" w:hAnsi="PT Astra Serif" w:eastAsia="Symbol" w:cs="Symbol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– </w:t>
      </w:r>
      <w:r>
        <w:rPr>
          <w:rFonts w:ascii="PT Astra Serif" w:hAnsi="PT Astra Serif" w:eastAsia="Times New Roman"/>
          <w:sz w:val="24"/>
          <w:szCs w:val="24"/>
        </w:rPr>
        <w:t xml:space="preserve">постановлением Законодательной Думы Томской области от 30.10.2025 № 1979 «О прогнозном плане (программе) приватизации государственного имущества Томской области на плановый период 2026-2028 годов».</w:t>
      </w:r>
      <w:r>
        <w:rPr>
          <w:rFonts w:ascii="PT Astra Serif" w:hAnsi="PT Astra Serif" w:eastAsia="Symbol" w:cs="Symbol"/>
          <w:sz w:val="24"/>
          <w:szCs w:val="24"/>
        </w:rPr>
      </w:r>
      <w:r>
        <w:rPr>
          <w:rFonts w:ascii="PT Astra Serif" w:hAnsi="PT Astra Serif" w:eastAsia="Symbol" w:cs="Symbol"/>
          <w:sz w:val="24"/>
          <w:szCs w:val="24"/>
        </w:rPr>
      </w:r>
    </w:p>
    <w:p>
      <w:pPr>
        <w:ind w:left="560"/>
        <w:rPr>
          <w:rFonts w:ascii="PT Astra Serif" w:hAnsi="PT Astra Serif" w:eastAsia="Times New Roman"/>
          <w:b/>
          <w:bCs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регистрации на электронной площадке</w:t>
      </w:r>
      <w:r>
        <w:rPr>
          <w:rFonts w:ascii="PT Astra Serif" w:hAnsi="PT Astra Serif" w:eastAsia="Times New Roman"/>
          <w:b/>
          <w:bCs/>
          <w:sz w:val="24"/>
          <w:szCs w:val="24"/>
        </w:rPr>
      </w:r>
      <w:r>
        <w:rPr>
          <w:rFonts w:ascii="PT Astra Serif" w:hAnsi="PT Astra Serif" w:eastAsia="Times New Roman"/>
          <w:b/>
          <w:bCs/>
          <w:sz w:val="24"/>
          <w:szCs w:val="24"/>
        </w:rPr>
      </w:r>
    </w:p>
    <w:p>
      <w:pPr>
        <w:ind w:firstLine="567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4"/>
          <w:szCs w:val="24"/>
        </w:rPr>
        <w:t xml:space="preserve">Для обеспечения доступа</w:t>
      </w:r>
      <w:r>
        <w:rPr>
          <w:rFonts w:ascii="PT Astra Serif" w:hAnsi="PT Astra Serif" w:eastAsia="Times New Roman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 Регистрация на электронной площадке осуществляется без взимания платы.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Регистрация на электронной площадке проводится в соответствии с Регламентом электронной площадки.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Оформление участия в аукционе: </w:t>
      </w:r>
      <w:r>
        <w:rPr>
          <w:rFonts w:ascii="PT Astra Serif" w:hAnsi="PT Astra Serif" w:eastAsia="Times New Roman"/>
          <w:sz w:val="24"/>
          <w:szCs w:val="24"/>
        </w:rPr>
        <w:t xml:space="preserve">для оформления участия в электронном аукционе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</w:t>
      </w:r>
      <w:r>
        <w:rPr>
          <w:rFonts w:ascii="PT Astra Serif" w:hAnsi="PT Astra Serif" w:eastAsia="Times New Roman"/>
          <w:sz w:val="24"/>
          <w:szCs w:val="24"/>
        </w:rPr>
        <w:t xml:space="preserve">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 с заявкой представляют документы, обязательный перечень которых</w:t>
      </w:r>
      <w:r>
        <w:rPr>
          <w:rFonts w:ascii="PT Astra Serif" w:hAnsi="PT Astra Serif" w:eastAsia="Times New Roman"/>
          <w:sz w:val="24"/>
          <w:szCs w:val="24"/>
        </w:rPr>
        <w:t xml:space="preserve"> </w:t>
      </w:r>
      <w:r>
        <w:rPr>
          <w:rFonts w:ascii="PT Astra Serif" w:hAnsi="PT Astra Serif" w:eastAsia="Times New Roman"/>
          <w:sz w:val="24"/>
          <w:szCs w:val="24"/>
        </w:rPr>
        <w:t xml:space="preserve">указан</w:t>
      </w:r>
      <w:r>
        <w:rPr>
          <w:rFonts w:ascii="PT Astra Serif" w:hAnsi="PT Astra Serif" w:eastAsia="Times New Roman"/>
          <w:sz w:val="24"/>
          <w:szCs w:val="24"/>
        </w:rPr>
        <w:t xml:space="preserve"> в данном информационном сообщении. 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left="560" w:firstLine="149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Одно лицо имеет право подать только одну заявку на участие в электронном аукционе.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При приеме заявок от Претендентов электронная площадка обеспечивает регистрацию заяво</w:t>
      </w:r>
      <w:r>
        <w:rPr>
          <w:rFonts w:ascii="PT Astra Serif" w:hAnsi="PT Astra Serif" w:eastAsia="Times New Roman"/>
          <w:sz w:val="24"/>
          <w:szCs w:val="24"/>
        </w:rPr>
        <w:t xml:space="preserve">к и прилагаемых к ним документов в журнале приема заявок. Каждой заявке присваивается номер с указанием даты и времени приема. В течение одного часа со времени поступления заявки электронная площадка сообщает претенденту о ее поступлении путем направления </w:t>
      </w:r>
      <w:r>
        <w:rPr>
          <w:rFonts w:ascii="PT Astra Serif" w:hAnsi="PT Astra Serif" w:eastAsia="Times New Roman"/>
          <w:sz w:val="24"/>
          <w:szCs w:val="24"/>
        </w:rPr>
        <w:t xml:space="preserve">уведомления</w:t>
      </w:r>
      <w:r>
        <w:rPr>
          <w:rFonts w:ascii="PT Astra Serif" w:hAnsi="PT Astra Serif" w:eastAsia="Times New Roman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6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tabs>
          <w:tab w:val="left" w:pos="76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В 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ind w:firstLine="709"/>
        <w:jc w:val="both"/>
        <w:spacing w:line="238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Для участия в аукционе Претенден</w:t>
      </w:r>
      <w:r>
        <w:rPr>
          <w:rFonts w:ascii="PT Astra Serif" w:hAnsi="PT Astra Serif" w:eastAsia="Times New Roman"/>
          <w:sz w:val="24"/>
          <w:szCs w:val="24"/>
        </w:rPr>
        <w:t xml:space="preserve">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</w:t>
      </w:r>
      <w:r>
        <w:rPr>
          <w:rFonts w:ascii="PT Astra Serif" w:hAnsi="PT Astra Serif" w:eastAsia="Times New Roman"/>
          <w:sz w:val="24"/>
          <w:szCs w:val="24"/>
        </w:rPr>
        <w:t xml:space="preserve">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9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709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для участия в про</w:t>
      </w:r>
      <w:r>
        <w:rPr>
          <w:rFonts w:ascii="PT Astra Serif" w:hAnsi="PT Astra Serif" w:eastAsia="Times New Roman"/>
          <w:sz w:val="24"/>
          <w:szCs w:val="24"/>
        </w:rPr>
        <w:t xml:space="preserve">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708"/>
        <w:jc w:val="both"/>
        <w:spacing w:line="236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Задаток возвращается всем участникам продажи, кроме победителя либо лица, признанного единственным участником аукциона, в течение 5 (пяти) календарных дней </w:t>
      </w:r>
      <w:r>
        <w:rPr>
          <w:rFonts w:ascii="PT Astra Serif" w:hAnsi="PT Astra Serif" w:eastAsia="Times New Roman"/>
          <w:sz w:val="24"/>
          <w:szCs w:val="24"/>
        </w:rPr>
        <w:t xml:space="preserve">с даты подведения</w:t>
      </w:r>
      <w:r>
        <w:rPr>
          <w:rFonts w:ascii="PT Astra Serif" w:hAnsi="PT Astra Serif" w:eastAsia="Times New Roman"/>
          <w:sz w:val="24"/>
          <w:szCs w:val="24"/>
        </w:rPr>
        <w:t xml:space="preserve"> итогов продажи. Задаток, перечисленный победителем продажи либо лицом, признанным единственным участником аукциона, засчитывается в сумму платежа по договору купли-продажи.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67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и срок возврата задатков: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 w:eastAsia="Times New Roman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r>
        <w:rPr>
          <w:rFonts w:ascii="PT Astra Serif" w:hAnsi="PT Astra Serif" w:cs="PT Astra Serif"/>
          <w:sz w:val="24"/>
          <w:szCs w:val="24"/>
        </w:rPr>
        <w:t xml:space="preserve">возвращается</w:t>
      </w:r>
      <w:r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4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данным информационным сообщением.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jc w:val="both"/>
        <w:spacing w:line="2" w:lineRule="exact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left="560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Претендент не допускается к участию в аукционе по следующим основаниям: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22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представленные документы не подтверждают право претендента быть покупателем в соответствии с законодательством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6" w:lineRule="auto"/>
        <w:tabs>
          <w:tab w:val="left" w:pos="850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представлены не все документы в соответствии с перечнем, указанным в информационном сообщении о продаже государственного имущества, либо оформление указанных документов не соответствует законодательству Российской Федерации;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31" w:leader="none"/>
        </w:tabs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заявка на участие в аукционе подана лицом, не уполномоченным претендентом на осуществление таких действий;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jc w:val="both"/>
        <w:spacing w:line="13" w:lineRule="exact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p>
      <w:pPr>
        <w:numPr>
          <w:ilvl w:val="0"/>
          <w:numId w:val="10"/>
        </w:numPr>
        <w:ind w:right="20" w:firstLine="567"/>
        <w:jc w:val="both"/>
        <w:spacing w:line="234" w:lineRule="auto"/>
        <w:tabs>
          <w:tab w:val="left" w:pos="912" w:leader="none"/>
        </w:tabs>
        <w:rPr>
          <w:rFonts w:ascii="PT Astra Serif" w:hAnsi="PT Astra Serif" w:eastAsia="Arial" w:cs="Arial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не подтверждено поступление в установленный срок задатка на счет, указанный в информационном сообщении.</w:t>
      </w:r>
      <w:r>
        <w:rPr>
          <w:rFonts w:ascii="PT Astra Serif" w:hAnsi="PT Astra Serif" w:eastAsia="Arial" w:cs="Arial"/>
          <w:sz w:val="20"/>
          <w:szCs w:val="20"/>
        </w:rPr>
      </w:r>
      <w:r>
        <w:rPr>
          <w:rFonts w:ascii="PT Astra Serif" w:hAnsi="PT Astra Serif" w:eastAsia="Arial" w:cs="Arial"/>
          <w:sz w:val="20"/>
          <w:szCs w:val="20"/>
        </w:rPr>
      </w:r>
    </w:p>
    <w:p>
      <w:pPr>
        <w:ind w:left="560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b/>
          <w:bCs/>
          <w:sz w:val="24"/>
          <w:szCs w:val="24"/>
        </w:rPr>
        <w:t xml:space="preserve">Порядок проведения аукциона: </w:t>
      </w:r>
      <w:r>
        <w:rPr>
          <w:rFonts w:ascii="PT Astra Serif" w:hAnsi="PT Astra Serif" w:eastAsia="Times New Roman"/>
          <w:sz w:val="24"/>
          <w:szCs w:val="24"/>
        </w:rPr>
        <w:t xml:space="preserve">в соответствии с регламентом электронной площадки.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firstLine="540"/>
        <w:jc w:val="both"/>
        <w:spacing w:line="237" w:lineRule="auto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Times New Roman"/>
          <w:sz w:val="24"/>
          <w:szCs w:val="24"/>
        </w:rPr>
        <w:t xml:space="preserve">Ход проведения процедуры аукциона фиксируется электронной площадкой в электронном журнале.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ind w:right="20" w:firstLine="540"/>
        <w:jc w:val="both"/>
        <w:spacing w:line="237" w:lineRule="auto"/>
        <w:rPr>
          <w:rFonts w:ascii="PT Astra Serif" w:hAnsi="PT Astra Serif" w:eastAsia="Times New Roman"/>
          <w:sz w:val="24"/>
          <w:szCs w:val="24"/>
        </w:rPr>
      </w:pPr>
      <w:r>
        <w:rPr>
          <w:rFonts w:ascii="PT Astra Serif" w:hAnsi="PT Astra Serif" w:eastAsia="Times New Roman"/>
          <w:sz w:val="24"/>
          <w:szCs w:val="24"/>
        </w:rPr>
        <w:t xml:space="preserve">Процедура аукциона считается завершенной со времени подписания организатором аукциона протокола об итогах аукциона.</w:t>
      </w:r>
      <w:r>
        <w:rPr>
          <w:rFonts w:ascii="PT Astra Serif" w:hAnsi="PT Astra Serif" w:eastAsia="Times New Roman"/>
          <w:sz w:val="24"/>
          <w:szCs w:val="24"/>
        </w:rPr>
      </w:r>
      <w:r>
        <w:rPr>
          <w:rFonts w:ascii="PT Astra Serif" w:hAnsi="PT Astra Serif" w:eastAsia="Times New Roman"/>
          <w:sz w:val="24"/>
          <w:szCs w:val="24"/>
        </w:rPr>
      </w:r>
    </w:p>
    <w:sectPr>
      <w:footnotePr/>
      <w:endnotePr/>
      <w:type w:val="nextPage"/>
      <w:pgSz w:w="11900" w:h="16838" w:orient="portrait"/>
      <w:pgMar w:top="568" w:right="726" w:bottom="567" w:left="720" w:header="0" w:footer="0" w:gutter="0"/>
      <w:cols w:num="1" w:sep="0" w:space="720" w:equalWidth="0">
        <w:col w:w="10460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и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В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с"/>
      <w:lvlJc w:val="left"/>
      <w:pPr/>
    </w:lvl>
    <w:lvl w:ilvl="1">
      <w:start w:val="1"/>
      <w:numFmt w:val="bullet"/>
      <w:isLgl w:val="false"/>
      <w:suff w:val="tab"/>
      <w:lvlText w:val="В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о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8">
    <w:multiLevelType w:val="hybridMultilevel"/>
    <w:lvl w:ilvl="0">
      <w:start w:val="29"/>
      <w:numFmt w:val="decimal"/>
      <w:isLgl w:val="false"/>
      <w:suff w:val="tab"/>
      <w:lvlText w:val="%1"/>
      <w:lvlJc w:val="left"/>
      <w:pPr/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№"/>
      <w:lvlJc w:val="left"/>
      <w:pPr/>
    </w:lvl>
    <w:lvl w:ilvl="1">
      <w:start w:val="1"/>
      <w:numFmt w:val="bullet"/>
      <w:isLgl w:val="false"/>
      <w:suff w:val="tab"/>
      <w:lvlText w:val="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/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0"/>
  </w:num>
  <w:num w:numId="5">
    <w:abstractNumId w:val="3"/>
  </w:num>
  <w:num w:numId="6">
    <w:abstractNumId w:val="8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cs="Times New Roman" w:eastAsiaTheme="minorEastAsia"/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7" w:default="1">
    <w:name w:val="Normal"/>
    <w:qFormat/>
  </w:style>
  <w:style w:type="paragraph" w:styleId="678">
    <w:name w:val="Heading 1"/>
    <w:basedOn w:val="677"/>
    <w:next w:val="677"/>
    <w:link w:val="70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79">
    <w:name w:val="Heading 2"/>
    <w:basedOn w:val="677"/>
    <w:next w:val="677"/>
    <w:link w:val="70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80">
    <w:name w:val="Heading 3"/>
    <w:basedOn w:val="677"/>
    <w:next w:val="677"/>
    <w:link w:val="70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81">
    <w:name w:val="Heading 4"/>
    <w:basedOn w:val="677"/>
    <w:next w:val="677"/>
    <w:link w:val="70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677"/>
    <w:next w:val="677"/>
    <w:link w:val="71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677"/>
    <w:next w:val="677"/>
    <w:link w:val="71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84">
    <w:name w:val="Heading 7"/>
    <w:basedOn w:val="677"/>
    <w:next w:val="677"/>
    <w:link w:val="71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85">
    <w:name w:val="Heading 8"/>
    <w:basedOn w:val="677"/>
    <w:next w:val="677"/>
    <w:link w:val="71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86">
    <w:name w:val="Heading 9"/>
    <w:basedOn w:val="677"/>
    <w:next w:val="677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7" w:default="1">
    <w:name w:val="Default Paragraph Font"/>
    <w:uiPriority w:val="1"/>
    <w:semiHidden/>
    <w:unhideWhenUsed/>
  </w:style>
  <w:style w:type="table" w:styleId="6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9" w:default="1">
    <w:name w:val="No List"/>
    <w:uiPriority w:val="99"/>
    <w:semiHidden/>
    <w:unhideWhenUsed/>
  </w:style>
  <w:style w:type="character" w:styleId="690" w:customStyle="1">
    <w:name w:val="Heading 1 Char"/>
    <w:basedOn w:val="687"/>
    <w:uiPriority w:val="9"/>
    <w:rPr>
      <w:rFonts w:ascii="Arial" w:hAnsi="Arial" w:eastAsia="Arial" w:cs="Arial"/>
      <w:sz w:val="40"/>
      <w:szCs w:val="40"/>
    </w:rPr>
  </w:style>
  <w:style w:type="character" w:styleId="691" w:customStyle="1">
    <w:name w:val="Heading 2 Char"/>
    <w:basedOn w:val="687"/>
    <w:uiPriority w:val="9"/>
    <w:rPr>
      <w:rFonts w:ascii="Arial" w:hAnsi="Arial" w:eastAsia="Arial" w:cs="Arial"/>
      <w:sz w:val="34"/>
    </w:rPr>
  </w:style>
  <w:style w:type="character" w:styleId="692" w:customStyle="1">
    <w:name w:val="Heading 3 Char"/>
    <w:basedOn w:val="687"/>
    <w:uiPriority w:val="9"/>
    <w:rPr>
      <w:rFonts w:ascii="Arial" w:hAnsi="Arial" w:eastAsia="Arial" w:cs="Arial"/>
      <w:sz w:val="30"/>
      <w:szCs w:val="30"/>
    </w:rPr>
  </w:style>
  <w:style w:type="character" w:styleId="693" w:customStyle="1">
    <w:name w:val="Heading 4 Char"/>
    <w:basedOn w:val="687"/>
    <w:uiPriority w:val="9"/>
    <w:rPr>
      <w:rFonts w:ascii="Arial" w:hAnsi="Arial" w:eastAsia="Arial" w:cs="Arial"/>
      <w:b/>
      <w:bCs/>
      <w:sz w:val="26"/>
      <w:szCs w:val="26"/>
    </w:rPr>
  </w:style>
  <w:style w:type="character" w:styleId="694" w:customStyle="1">
    <w:name w:val="Heading 5 Char"/>
    <w:basedOn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95" w:customStyle="1">
    <w:name w:val="Heading 6 Char"/>
    <w:basedOn w:val="687"/>
    <w:uiPriority w:val="9"/>
    <w:rPr>
      <w:rFonts w:ascii="Arial" w:hAnsi="Arial" w:eastAsia="Arial" w:cs="Arial"/>
      <w:b/>
      <w:bCs/>
      <w:sz w:val="22"/>
      <w:szCs w:val="22"/>
    </w:rPr>
  </w:style>
  <w:style w:type="character" w:styleId="696" w:customStyle="1">
    <w:name w:val="Heading 7 Char"/>
    <w:basedOn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7" w:customStyle="1">
    <w:name w:val="Heading 8 Char"/>
    <w:basedOn w:val="687"/>
    <w:uiPriority w:val="9"/>
    <w:rPr>
      <w:rFonts w:ascii="Arial" w:hAnsi="Arial" w:eastAsia="Arial" w:cs="Arial"/>
      <w:i/>
      <w:iCs/>
      <w:sz w:val="22"/>
      <w:szCs w:val="22"/>
    </w:rPr>
  </w:style>
  <w:style w:type="character" w:styleId="698" w:customStyle="1">
    <w:name w:val="Heading 9 Char"/>
    <w:basedOn w:val="687"/>
    <w:uiPriority w:val="9"/>
    <w:rPr>
      <w:rFonts w:ascii="Arial" w:hAnsi="Arial" w:eastAsia="Arial" w:cs="Arial"/>
      <w:i/>
      <w:iCs/>
      <w:sz w:val="21"/>
      <w:szCs w:val="21"/>
    </w:rPr>
  </w:style>
  <w:style w:type="character" w:styleId="699" w:customStyle="1">
    <w:name w:val="Title Char"/>
    <w:basedOn w:val="687"/>
    <w:uiPriority w:val="10"/>
    <w:rPr>
      <w:sz w:val="48"/>
      <w:szCs w:val="48"/>
    </w:rPr>
  </w:style>
  <w:style w:type="character" w:styleId="700" w:customStyle="1">
    <w:name w:val="Subtitle Char"/>
    <w:basedOn w:val="687"/>
    <w:uiPriority w:val="11"/>
    <w:rPr>
      <w:sz w:val="24"/>
      <w:szCs w:val="24"/>
    </w:rPr>
  </w:style>
  <w:style w:type="character" w:styleId="701" w:customStyle="1">
    <w:name w:val="Quote Char"/>
    <w:uiPriority w:val="29"/>
    <w:rPr>
      <w:i/>
    </w:rPr>
  </w:style>
  <w:style w:type="character" w:styleId="702" w:customStyle="1">
    <w:name w:val="Intense Quote Char"/>
    <w:uiPriority w:val="30"/>
    <w:rPr>
      <w:i/>
    </w:rPr>
  </w:style>
  <w:style w:type="character" w:styleId="703" w:customStyle="1">
    <w:name w:val="Caption Char"/>
    <w:uiPriority w:val="99"/>
  </w:style>
  <w:style w:type="character" w:styleId="704" w:customStyle="1">
    <w:name w:val="Footnote Text Char"/>
    <w:uiPriority w:val="99"/>
    <w:rPr>
      <w:sz w:val="18"/>
    </w:rPr>
  </w:style>
  <w:style w:type="character" w:styleId="705" w:customStyle="1">
    <w:name w:val="Endnote Text Char"/>
    <w:uiPriority w:val="99"/>
    <w:rPr>
      <w:sz w:val="20"/>
    </w:rPr>
  </w:style>
  <w:style w:type="character" w:styleId="706" w:customStyle="1">
    <w:name w:val="Заголовок 1 Знак"/>
    <w:basedOn w:val="687"/>
    <w:link w:val="678"/>
    <w:uiPriority w:val="9"/>
    <w:rPr>
      <w:rFonts w:ascii="Arial" w:hAnsi="Arial" w:eastAsia="Arial" w:cs="Arial"/>
      <w:sz w:val="40"/>
      <w:szCs w:val="40"/>
    </w:rPr>
  </w:style>
  <w:style w:type="character" w:styleId="707" w:customStyle="1">
    <w:name w:val="Заголовок 2 Знак"/>
    <w:basedOn w:val="687"/>
    <w:link w:val="679"/>
    <w:uiPriority w:val="9"/>
    <w:rPr>
      <w:rFonts w:ascii="Arial" w:hAnsi="Arial" w:eastAsia="Arial" w:cs="Arial"/>
      <w:sz w:val="34"/>
    </w:rPr>
  </w:style>
  <w:style w:type="character" w:styleId="708" w:customStyle="1">
    <w:name w:val="Заголовок 3 Знак"/>
    <w:basedOn w:val="687"/>
    <w:link w:val="680"/>
    <w:uiPriority w:val="9"/>
    <w:rPr>
      <w:rFonts w:ascii="Arial" w:hAnsi="Arial" w:eastAsia="Arial" w:cs="Arial"/>
      <w:sz w:val="30"/>
      <w:szCs w:val="30"/>
    </w:rPr>
  </w:style>
  <w:style w:type="character" w:styleId="709" w:customStyle="1">
    <w:name w:val="Заголовок 4 Знак"/>
    <w:basedOn w:val="687"/>
    <w:link w:val="681"/>
    <w:uiPriority w:val="9"/>
    <w:rPr>
      <w:rFonts w:ascii="Arial" w:hAnsi="Arial" w:eastAsia="Arial" w:cs="Arial"/>
      <w:b/>
      <w:bCs/>
      <w:sz w:val="26"/>
      <w:szCs w:val="26"/>
    </w:rPr>
  </w:style>
  <w:style w:type="character" w:styleId="710" w:customStyle="1">
    <w:name w:val="Заголовок 5 Знак"/>
    <w:basedOn w:val="68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character" w:styleId="711" w:customStyle="1">
    <w:name w:val="Заголовок 6 Знак"/>
    <w:basedOn w:val="687"/>
    <w:link w:val="683"/>
    <w:uiPriority w:val="9"/>
    <w:rPr>
      <w:rFonts w:ascii="Arial" w:hAnsi="Arial" w:eastAsia="Arial" w:cs="Arial"/>
      <w:b/>
      <w:bCs/>
      <w:sz w:val="22"/>
      <w:szCs w:val="22"/>
    </w:rPr>
  </w:style>
  <w:style w:type="character" w:styleId="712" w:customStyle="1">
    <w:name w:val="Заголовок 7 Знак"/>
    <w:basedOn w:val="687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3" w:customStyle="1">
    <w:name w:val="Заголовок 8 Знак"/>
    <w:basedOn w:val="687"/>
    <w:link w:val="685"/>
    <w:uiPriority w:val="9"/>
    <w:rPr>
      <w:rFonts w:ascii="Arial" w:hAnsi="Arial" w:eastAsia="Arial" w:cs="Arial"/>
      <w:i/>
      <w:iCs/>
      <w:sz w:val="22"/>
      <w:szCs w:val="22"/>
    </w:rPr>
  </w:style>
  <w:style w:type="character" w:styleId="714" w:customStyle="1">
    <w:name w:val="Заголовок 9 Знак"/>
    <w:basedOn w:val="687"/>
    <w:link w:val="686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</w:style>
  <w:style w:type="paragraph" w:styleId="716">
    <w:name w:val="Title"/>
    <w:basedOn w:val="677"/>
    <w:next w:val="677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 w:customStyle="1">
    <w:name w:val="Название Знак"/>
    <w:basedOn w:val="687"/>
    <w:link w:val="716"/>
    <w:uiPriority w:val="10"/>
    <w:rPr>
      <w:sz w:val="48"/>
      <w:szCs w:val="48"/>
    </w:rPr>
  </w:style>
  <w:style w:type="paragraph" w:styleId="718">
    <w:name w:val="Subtitle"/>
    <w:basedOn w:val="677"/>
    <w:next w:val="677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 w:customStyle="1">
    <w:name w:val="Подзаголовок Знак"/>
    <w:basedOn w:val="687"/>
    <w:link w:val="718"/>
    <w:uiPriority w:val="11"/>
    <w:rPr>
      <w:sz w:val="24"/>
      <w:szCs w:val="24"/>
    </w:rPr>
  </w:style>
  <w:style w:type="paragraph" w:styleId="720">
    <w:name w:val="Quote"/>
    <w:basedOn w:val="677"/>
    <w:next w:val="677"/>
    <w:link w:val="721"/>
    <w:uiPriority w:val="29"/>
    <w:qFormat/>
    <w:pPr>
      <w:ind w:left="720" w:right="720"/>
    </w:pPr>
    <w:rPr>
      <w:i/>
    </w:rPr>
  </w:style>
  <w:style w:type="character" w:styleId="721" w:customStyle="1">
    <w:name w:val="Цитата 2 Знак"/>
    <w:link w:val="720"/>
    <w:uiPriority w:val="29"/>
    <w:rPr>
      <w:i/>
    </w:rPr>
  </w:style>
  <w:style w:type="paragraph" w:styleId="722">
    <w:name w:val="Intense Quote"/>
    <w:basedOn w:val="677"/>
    <w:next w:val="677"/>
    <w:link w:val="72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 w:customStyle="1">
    <w:name w:val="Выделенная цитата Знак"/>
    <w:link w:val="722"/>
    <w:uiPriority w:val="30"/>
    <w:rPr>
      <w:i/>
    </w:rPr>
  </w:style>
  <w:style w:type="character" w:styleId="724" w:customStyle="1">
    <w:name w:val="Header Char"/>
    <w:basedOn w:val="687"/>
    <w:uiPriority w:val="99"/>
  </w:style>
  <w:style w:type="paragraph" w:styleId="725">
    <w:name w:val="Footer"/>
    <w:basedOn w:val="677"/>
    <w:link w:val="72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6" w:customStyle="1">
    <w:name w:val="Footer Char"/>
    <w:basedOn w:val="687"/>
    <w:uiPriority w:val="99"/>
  </w:style>
  <w:style w:type="paragraph" w:styleId="727">
    <w:name w:val="Caption"/>
    <w:basedOn w:val="677"/>
    <w:next w:val="677"/>
    <w:link w:val="7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 w:customStyle="1">
    <w:name w:val="Нижний колонтитул Знак"/>
    <w:link w:val="725"/>
    <w:uiPriority w:val="99"/>
  </w:style>
  <w:style w:type="table" w:styleId="729" w:customStyle="1">
    <w:name w:val="Table Grid Light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30" w:customStyle="1">
    <w:name w:val="Plain Table 1"/>
    <w:basedOn w:val="6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 w:customStyle="1">
    <w:name w:val="Plain Table 2"/>
    <w:basedOn w:val="6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 w:customStyle="1">
    <w:name w:val="Plain Table 3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3" w:customStyle="1">
    <w:name w:val="Plain Table 4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 w:customStyle="1">
    <w:name w:val="Plain Table 5"/>
    <w:basedOn w:val="6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1 Light"/>
    <w:basedOn w:val="6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2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2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"/>
    <w:basedOn w:val="6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1"/>
    <w:basedOn w:val="6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5"/>
    <w:basedOn w:val="6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3 - Accent 6"/>
    <w:basedOn w:val="6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4"/>
    <w:basedOn w:val="6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7" w:customStyle="1">
    <w:name w:val="Grid Table 4 - Accent 1"/>
    <w:basedOn w:val="6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8" w:customStyle="1">
    <w:name w:val="Grid Table 4 - Accent 2"/>
    <w:basedOn w:val="6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9" w:customStyle="1">
    <w:name w:val="Grid Table 4 - Accent 3"/>
    <w:basedOn w:val="6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60" w:customStyle="1">
    <w:name w:val="Grid Table 4 - Accent 4"/>
    <w:basedOn w:val="6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1" w:customStyle="1">
    <w:name w:val="Grid Table 4 - Accent 5"/>
    <w:basedOn w:val="6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2" w:customStyle="1">
    <w:name w:val="Grid Table 4 - Accent 6"/>
    <w:basedOn w:val="6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3" w:customStyle="1">
    <w:name w:val="Grid Table 5 Dark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- Accent 1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2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 - Accent 3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- Accent 4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5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9" w:customStyle="1">
    <w:name w:val="Grid Table 5 Dark - Accent 6"/>
    <w:basedOn w:val="6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70" w:customStyle="1">
    <w:name w:val="Grid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1" w:customStyle="1">
    <w:name w:val="Grid Table 6 Colorful - Accent 1"/>
    <w:basedOn w:val="6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2" w:customStyle="1">
    <w:name w:val="Grid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3" w:customStyle="1">
    <w:name w:val="Grid Table 6 Colorful - Accent 3"/>
    <w:basedOn w:val="6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4" w:customStyle="1">
    <w:name w:val="Grid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5" w:customStyle="1">
    <w:name w:val="Grid Table 6 Colorful - Accent 5"/>
    <w:basedOn w:val="6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 w:customStyle="1">
    <w:name w:val="Grid Table 6 Colorful - Accent 6"/>
    <w:basedOn w:val="6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7" w:customStyle="1">
    <w:name w:val="Grid Table 7 Colorful"/>
    <w:basedOn w:val="6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7 Colorful - Accent 1"/>
    <w:basedOn w:val="6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7 Colorful - Accent 2"/>
    <w:basedOn w:val="6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7 Colorful - Accent 3"/>
    <w:basedOn w:val="6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7 Colorful - Accent 4"/>
    <w:basedOn w:val="6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7 Colorful - Accent 5"/>
    <w:basedOn w:val="6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7 Colorful - Accent 6"/>
    <w:basedOn w:val="6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"/>
    <w:basedOn w:val="6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1"/>
    <w:basedOn w:val="6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2"/>
    <w:basedOn w:val="6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3"/>
    <w:basedOn w:val="6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4"/>
    <w:basedOn w:val="6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5"/>
    <w:basedOn w:val="6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List Table 1 Light - Accent 6"/>
    <w:basedOn w:val="6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List Table 2"/>
    <w:basedOn w:val="6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7" w:customStyle="1">
    <w:name w:val="List Table 2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8" w:customStyle="1">
    <w:name w:val="List Table 3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"/>
    <w:basedOn w:val="6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1"/>
    <w:basedOn w:val="6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2"/>
    <w:basedOn w:val="6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3"/>
    <w:basedOn w:val="6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4"/>
    <w:basedOn w:val="6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5"/>
    <w:basedOn w:val="6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6"/>
    <w:basedOn w:val="6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5 Dark"/>
    <w:basedOn w:val="6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1"/>
    <w:basedOn w:val="6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6 Colorful"/>
    <w:basedOn w:val="6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20" w:customStyle="1">
    <w:name w:val="List Table 6 Colorful - Accent 1"/>
    <w:basedOn w:val="6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1" w:customStyle="1">
    <w:name w:val="List Table 6 Colorful - Accent 2"/>
    <w:basedOn w:val="6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2" w:customStyle="1">
    <w:name w:val="List Table 6 Colorful - Accent 3"/>
    <w:basedOn w:val="6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3" w:customStyle="1">
    <w:name w:val="List Table 6 Colorful - Accent 4"/>
    <w:basedOn w:val="6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4" w:customStyle="1">
    <w:name w:val="List Table 6 Colorful - Accent 5"/>
    <w:basedOn w:val="6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5" w:customStyle="1">
    <w:name w:val="List Table 6 Colorful - Accent 6"/>
    <w:basedOn w:val="6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6" w:customStyle="1">
    <w:name w:val="List Table 7 Colorful"/>
    <w:basedOn w:val="6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List Table 7 Colorful - Accent 1"/>
    <w:basedOn w:val="6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7 Colorful - Accent 2"/>
    <w:basedOn w:val="6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7 Colorful - Accent 3"/>
    <w:basedOn w:val="6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7 Colorful - Accent 4"/>
    <w:basedOn w:val="6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7 Colorful - Accent 5"/>
    <w:basedOn w:val="6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7 Colorful - Accent 6"/>
    <w:basedOn w:val="6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4" w:customStyle="1">
    <w:name w:val="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5" w:customStyle="1">
    <w:name w:val="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6" w:customStyle="1">
    <w:name w:val="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7" w:customStyle="1">
    <w:name w:val="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8" w:customStyle="1">
    <w:name w:val="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9" w:customStyle="1">
    <w:name w:val="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0" w:customStyle="1">
    <w:name w:val="Bordered &amp; Lined - Accent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1" w:customStyle="1">
    <w:name w:val="Bordered &amp; Lined - Accent 1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2" w:customStyle="1">
    <w:name w:val="Bordered &amp; Lined - Accent 2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3" w:customStyle="1">
    <w:name w:val="Bordered &amp; Lined - Accent 3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4" w:customStyle="1">
    <w:name w:val="Bordered &amp; Lined - Accent 4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5" w:customStyle="1">
    <w:name w:val="Bordered &amp; Lined - Accent 5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6" w:customStyle="1">
    <w:name w:val="Bordered &amp; Lined - Accent 6"/>
    <w:basedOn w:val="688"/>
    <w:uiPriority w:val="99"/>
    <w:rPr>
      <w:color w:val="404040"/>
      <w:sz w:val="20"/>
      <w:szCs w:val="2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7" w:customStyle="1">
    <w:name w:val="Bordered"/>
    <w:basedOn w:val="6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8" w:customStyle="1">
    <w:name w:val="Bordered - Accent 1"/>
    <w:basedOn w:val="6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9" w:customStyle="1">
    <w:name w:val="Bordered - Accent 2"/>
    <w:basedOn w:val="6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50" w:customStyle="1">
    <w:name w:val="Bordered - Accent 3"/>
    <w:basedOn w:val="6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1" w:customStyle="1">
    <w:name w:val="Bordered - Accent 4"/>
    <w:basedOn w:val="6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2" w:customStyle="1">
    <w:name w:val="Bordered - Accent 5"/>
    <w:basedOn w:val="6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3" w:customStyle="1">
    <w:name w:val="Bordered - Accent 6"/>
    <w:basedOn w:val="6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4">
    <w:name w:val="footnote text"/>
    <w:basedOn w:val="677"/>
    <w:link w:val="855"/>
    <w:uiPriority w:val="99"/>
    <w:semiHidden/>
    <w:unhideWhenUsed/>
    <w:pPr>
      <w:spacing w:after="40"/>
    </w:pPr>
    <w:rPr>
      <w:sz w:val="18"/>
    </w:rPr>
  </w:style>
  <w:style w:type="character" w:styleId="855" w:customStyle="1">
    <w:name w:val="Текст сноски Знак"/>
    <w:link w:val="854"/>
    <w:uiPriority w:val="99"/>
    <w:rPr>
      <w:sz w:val="18"/>
    </w:rPr>
  </w:style>
  <w:style w:type="character" w:styleId="856">
    <w:name w:val="footnote reference"/>
    <w:basedOn w:val="687"/>
    <w:uiPriority w:val="99"/>
    <w:unhideWhenUsed/>
    <w:rPr>
      <w:vertAlign w:val="superscript"/>
    </w:rPr>
  </w:style>
  <w:style w:type="paragraph" w:styleId="857">
    <w:name w:val="endnote text"/>
    <w:basedOn w:val="677"/>
    <w:link w:val="858"/>
    <w:uiPriority w:val="99"/>
    <w:semiHidden/>
    <w:unhideWhenUsed/>
    <w:rPr>
      <w:sz w:val="20"/>
    </w:rPr>
  </w:style>
  <w:style w:type="character" w:styleId="858" w:customStyle="1">
    <w:name w:val="Текст концевой сноски Знак"/>
    <w:link w:val="857"/>
    <w:uiPriority w:val="99"/>
    <w:rPr>
      <w:sz w:val="20"/>
    </w:rPr>
  </w:style>
  <w:style w:type="character" w:styleId="859">
    <w:name w:val="endnote reference"/>
    <w:basedOn w:val="687"/>
    <w:uiPriority w:val="99"/>
    <w:semiHidden/>
    <w:unhideWhenUsed/>
    <w:rPr>
      <w:vertAlign w:val="superscript"/>
    </w:rPr>
  </w:style>
  <w:style w:type="paragraph" w:styleId="860">
    <w:name w:val="toc 1"/>
    <w:basedOn w:val="677"/>
    <w:next w:val="677"/>
    <w:uiPriority w:val="39"/>
    <w:unhideWhenUsed/>
    <w:pPr>
      <w:spacing w:after="57"/>
    </w:pPr>
  </w:style>
  <w:style w:type="paragraph" w:styleId="861">
    <w:name w:val="toc 2"/>
    <w:basedOn w:val="677"/>
    <w:next w:val="677"/>
    <w:uiPriority w:val="39"/>
    <w:unhideWhenUsed/>
    <w:pPr>
      <w:ind w:left="283"/>
      <w:spacing w:after="57"/>
    </w:pPr>
  </w:style>
  <w:style w:type="paragraph" w:styleId="862">
    <w:name w:val="toc 3"/>
    <w:basedOn w:val="677"/>
    <w:next w:val="677"/>
    <w:uiPriority w:val="39"/>
    <w:unhideWhenUsed/>
    <w:pPr>
      <w:ind w:left="567"/>
      <w:spacing w:after="57"/>
    </w:pPr>
  </w:style>
  <w:style w:type="paragraph" w:styleId="863">
    <w:name w:val="toc 4"/>
    <w:basedOn w:val="677"/>
    <w:next w:val="677"/>
    <w:uiPriority w:val="39"/>
    <w:unhideWhenUsed/>
    <w:pPr>
      <w:ind w:left="850"/>
      <w:spacing w:after="57"/>
    </w:pPr>
  </w:style>
  <w:style w:type="paragraph" w:styleId="864">
    <w:name w:val="toc 5"/>
    <w:basedOn w:val="677"/>
    <w:next w:val="677"/>
    <w:uiPriority w:val="39"/>
    <w:unhideWhenUsed/>
    <w:pPr>
      <w:ind w:left="1134"/>
      <w:spacing w:after="57"/>
    </w:pPr>
  </w:style>
  <w:style w:type="paragraph" w:styleId="865">
    <w:name w:val="toc 6"/>
    <w:basedOn w:val="677"/>
    <w:next w:val="677"/>
    <w:uiPriority w:val="39"/>
    <w:unhideWhenUsed/>
    <w:pPr>
      <w:ind w:left="1417"/>
      <w:spacing w:after="57"/>
    </w:pPr>
  </w:style>
  <w:style w:type="paragraph" w:styleId="866">
    <w:name w:val="toc 7"/>
    <w:basedOn w:val="677"/>
    <w:next w:val="677"/>
    <w:uiPriority w:val="39"/>
    <w:unhideWhenUsed/>
    <w:pPr>
      <w:ind w:left="1701"/>
      <w:spacing w:after="57"/>
    </w:pPr>
  </w:style>
  <w:style w:type="paragraph" w:styleId="867">
    <w:name w:val="toc 8"/>
    <w:basedOn w:val="677"/>
    <w:next w:val="677"/>
    <w:uiPriority w:val="39"/>
    <w:unhideWhenUsed/>
    <w:pPr>
      <w:ind w:left="1984"/>
      <w:spacing w:after="57"/>
    </w:pPr>
  </w:style>
  <w:style w:type="paragraph" w:styleId="868">
    <w:name w:val="toc 9"/>
    <w:basedOn w:val="677"/>
    <w:next w:val="677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table of figures"/>
    <w:basedOn w:val="677"/>
    <w:next w:val="677"/>
    <w:uiPriority w:val="99"/>
    <w:unhideWhenUsed/>
  </w:style>
  <w:style w:type="character" w:styleId="871">
    <w:name w:val="Hyperlink"/>
    <w:basedOn w:val="687"/>
    <w:uiPriority w:val="99"/>
    <w:unhideWhenUsed/>
    <w:rPr>
      <w:color w:val="0000ff"/>
      <w:u w:val="single"/>
    </w:rPr>
  </w:style>
  <w:style w:type="paragraph" w:styleId="872">
    <w:name w:val="Header"/>
    <w:basedOn w:val="677"/>
    <w:link w:val="873"/>
    <w:pPr>
      <w:tabs>
        <w:tab w:val="center" w:pos="4153" w:leader="none"/>
        <w:tab w:val="right" w:pos="8306" w:leader="none"/>
      </w:tabs>
    </w:pPr>
    <w:rPr>
      <w:rFonts w:eastAsia="Times New Roman"/>
      <w:sz w:val="24"/>
      <w:szCs w:val="24"/>
    </w:rPr>
  </w:style>
  <w:style w:type="character" w:styleId="873" w:customStyle="1">
    <w:name w:val="Верхний колонтитул Знак"/>
    <w:basedOn w:val="687"/>
    <w:link w:val="872"/>
    <w:rPr>
      <w:rFonts w:eastAsia="Times New Roman"/>
      <w:sz w:val="24"/>
      <w:szCs w:val="24"/>
    </w:rPr>
  </w:style>
  <w:style w:type="paragraph" w:styleId="874" w:customStyle="1">
    <w:name w:val="ФИО"/>
    <w:basedOn w:val="677"/>
    <w:link w:val="875"/>
    <w:rPr>
      <w:rFonts w:eastAsia="Times New Roman"/>
      <w:b/>
      <w:sz w:val="24"/>
      <w:szCs w:val="24"/>
    </w:rPr>
  </w:style>
  <w:style w:type="character" w:styleId="875" w:customStyle="1">
    <w:name w:val="ФИО Знак"/>
    <w:link w:val="874"/>
    <w:rPr>
      <w:rFonts w:eastAsia="Times New Roman"/>
      <w:b/>
      <w:sz w:val="24"/>
      <w:szCs w:val="24"/>
    </w:rPr>
  </w:style>
  <w:style w:type="paragraph" w:styleId="876">
    <w:name w:val="Balloon Text"/>
    <w:basedOn w:val="677"/>
    <w:link w:val="877"/>
    <w:uiPriority w:val="99"/>
    <w:semiHidden/>
    <w:unhideWhenUsed/>
    <w:rPr>
      <w:rFonts w:ascii="Tahoma" w:hAnsi="Tahoma" w:cs="Tahoma"/>
      <w:sz w:val="16"/>
      <w:szCs w:val="16"/>
    </w:rPr>
  </w:style>
  <w:style w:type="character" w:styleId="877" w:customStyle="1">
    <w:name w:val="Текст выноски Знак"/>
    <w:basedOn w:val="687"/>
    <w:link w:val="876"/>
    <w:uiPriority w:val="99"/>
    <w:semiHidden/>
    <w:rPr>
      <w:rFonts w:ascii="Tahoma" w:hAnsi="Tahoma" w:cs="Tahoma"/>
      <w:sz w:val="16"/>
      <w:szCs w:val="16"/>
    </w:rPr>
  </w:style>
  <w:style w:type="paragraph" w:styleId="878">
    <w:name w:val="List Paragraph"/>
    <w:basedOn w:val="677"/>
    <w:uiPriority w:val="34"/>
    <w:qFormat/>
    <w:pPr>
      <w:contextualSpacing/>
      <w:ind w:left="720"/>
    </w:pPr>
  </w:style>
  <w:style w:type="table" w:styleId="879">
    <w:name w:val="Table Grid"/>
    <w:basedOn w:val="688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0" w:customStyle="1">
    <w:name w:val="Default"/>
    <w:rPr>
      <w:color w:val="000000"/>
      <w:sz w:val="24"/>
      <w:szCs w:val="24"/>
    </w:rPr>
  </w:style>
  <w:style w:type="paragraph" w:styleId="881">
    <w:name w:val="Body Text"/>
    <w:basedOn w:val="677"/>
    <w:link w:val="882"/>
    <w:rPr>
      <w:rFonts w:eastAsia="Times New Roman"/>
      <w:bCs/>
      <w:sz w:val="32"/>
      <w:szCs w:val="24"/>
    </w:rPr>
  </w:style>
  <w:style w:type="character" w:styleId="882" w:customStyle="1">
    <w:name w:val="Основной текст Знак"/>
    <w:basedOn w:val="687"/>
    <w:link w:val="881"/>
    <w:rPr>
      <w:rFonts w:eastAsia="Times New Roman"/>
      <w:bCs/>
      <w:sz w:val="32"/>
      <w:szCs w:val="24"/>
    </w:rPr>
  </w:style>
  <w:style w:type="character" w:styleId="883">
    <w:name w:val="FollowedHyperlink"/>
    <w:basedOn w:val="687"/>
    <w:uiPriority w:val="99"/>
    <w:semiHidden/>
    <w:unhideWhenUsed/>
    <w:rPr>
      <w:color w:val="800080" w:themeColor="followedHyperlink"/>
      <w:u w:val="single"/>
    </w:rPr>
  </w:style>
  <w:style w:type="character" w:styleId="884" w:customStyle="1">
    <w:name w:val="notice-header_title_text"/>
    <w:basedOn w:val="68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hyperlink" Target="mailto:dugsto@gov70.ru" TargetMode="External"/><Relationship Id="rId11" Type="http://schemas.openxmlformats.org/officeDocument/2006/relationships/hyperlink" Target="mailto:fai@gki.tomsk.ru" TargetMode="External"/><Relationship Id="rId12" Type="http://schemas.openxmlformats.org/officeDocument/2006/relationships/hyperlink" Target="http://www.torgi.gov.ru/" TargetMode="External"/><Relationship Id="rId13" Type="http://schemas.openxmlformats.org/officeDocument/2006/relationships/hyperlink" Target="https://www.torgi.gov.&#1075;u" TargetMode="External"/><Relationship Id="rId14" Type="http://schemas.openxmlformats.org/officeDocument/2006/relationships/hyperlink" Target="https://www.torgi.gov.&#1075;u" TargetMode="External"/><Relationship Id="rId15" Type="http://schemas.openxmlformats.org/officeDocument/2006/relationships/hyperlink" Target="https://dugs.tomsk.gov.ru/privatizatsija-prodazha-gosudarstvennogo-imuschestva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AD081-3156-4CEB-9FCD-471842555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kovalevaes@dugs.local</cp:lastModifiedBy>
  <cp:revision>14</cp:revision>
  <dcterms:created xsi:type="dcterms:W3CDTF">2026-05-21T10:41:00Z</dcterms:created>
  <dcterms:modified xsi:type="dcterms:W3CDTF">2026-09-14T11:34:08Z</dcterms:modified>
</cp:coreProperties>
</file>