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PT Astra Serif" w:hAnsi="PT Astra Serif"/>
          <w:sz w:val="20"/>
          <w:szCs w:val="20"/>
        </w:rPr>
      </w:pPr>
      <w:r>
        <w:rPr>
          <w:rFonts w:ascii="PT Astra Serif" w:hAnsi="PT Astra Serif" w:eastAsia="Times New Roman"/>
          <w:b/>
          <w:bCs/>
          <w:sz w:val="24"/>
          <w:szCs w:val="24"/>
        </w:rPr>
        <w:t xml:space="preserve">ИНФОРМАЦИОННОЕ СООБЩЕНИЕ</w:t>
      </w:r>
      <w:r>
        <w:rPr>
          <w:rFonts w:ascii="PT Astra Serif" w:hAnsi="PT Astra Serif"/>
          <w:sz w:val="20"/>
          <w:szCs w:val="20"/>
        </w:rPr>
      </w:r>
      <w:r>
        <w:rPr>
          <w:rFonts w:ascii="PT Astra Serif" w:hAnsi="PT Astra Serif"/>
          <w:sz w:val="20"/>
          <w:szCs w:val="20"/>
        </w:rPr>
      </w:r>
    </w:p>
    <w:p>
      <w:pPr>
        <w:spacing w:line="12" w:lineRule="exact"/>
        <w:rPr>
          <w:rFonts w:ascii="PT Astra Serif" w:hAnsi="PT Astra Serif"/>
          <w:sz w:val="24"/>
          <w:szCs w:val="24"/>
        </w:rPr>
      </w:pPr>
      <w:r>
        <w:rPr>
          <w:rFonts w:ascii="PT Astra Serif" w:hAnsi="PT Astra Serif"/>
          <w:sz w:val="24"/>
          <w:szCs w:val="24"/>
        </w:rPr>
      </w:r>
      <w:r>
        <w:rPr>
          <w:rFonts w:ascii="PT Astra Serif" w:hAnsi="PT Astra Serif"/>
          <w:sz w:val="24"/>
          <w:szCs w:val="24"/>
        </w:rPr>
      </w:r>
      <w:r>
        <w:rPr>
          <w:rFonts w:ascii="PT Astra Serif" w:hAnsi="PT Astra Serif"/>
          <w:sz w:val="24"/>
          <w:szCs w:val="24"/>
        </w:rPr>
      </w:r>
    </w:p>
    <w:p>
      <w:pPr>
        <w:ind w:left="864" w:right="680"/>
        <w:jc w:val="center"/>
        <w:spacing w:line="250" w:lineRule="auto"/>
        <w:tabs>
          <w:tab w:val="left" w:pos="1047" w:leader="none"/>
        </w:tabs>
        <w:rPr>
          <w:rFonts w:ascii="PT Astra Serif" w:hAnsi="PT Astra Serif" w:eastAsia="Times New Roman"/>
          <w:b/>
          <w:bCs/>
          <w:sz w:val="23"/>
          <w:szCs w:val="23"/>
        </w:rPr>
      </w:pPr>
      <w:r>
        <w:rPr>
          <w:rFonts w:ascii="PT Astra Serif" w:hAnsi="PT Astra Serif" w:eastAsia="Times New Roman"/>
          <w:b/>
          <w:bCs/>
          <w:sz w:val="23"/>
          <w:szCs w:val="23"/>
        </w:rPr>
        <w:t xml:space="preserve">о проведении продажи государственного имущества Томской области посредством публичного предложения в электронной форме </w:t>
      </w:r>
      <w:r>
        <w:rPr>
          <w:rFonts w:ascii="PT Astra Serif" w:hAnsi="PT Astra Serif" w:eastAsia="Times New Roman"/>
          <w:b/>
          <w:bCs/>
          <w:sz w:val="23"/>
          <w:szCs w:val="23"/>
        </w:rPr>
      </w:r>
      <w:r>
        <w:rPr>
          <w:rFonts w:ascii="PT Astra Serif" w:hAnsi="PT Astra Serif" w:eastAsia="Times New Roman"/>
          <w:b/>
          <w:bCs/>
          <w:sz w:val="23"/>
          <w:szCs w:val="23"/>
        </w:rPr>
      </w:r>
    </w:p>
    <w:p>
      <w:pPr>
        <w:ind w:left="864" w:right="680"/>
        <w:jc w:val="center"/>
        <w:spacing w:line="250" w:lineRule="auto"/>
        <w:tabs>
          <w:tab w:val="left" w:pos="1047" w:leader="none"/>
        </w:tabs>
        <w:rPr>
          <w:rFonts w:ascii="PT Astra Serif" w:hAnsi="PT Astra Serif" w:eastAsia="Times New Roman"/>
          <w:b/>
          <w:bCs/>
          <w:sz w:val="16"/>
          <w:szCs w:val="16"/>
        </w:rPr>
      </w:pPr>
      <w:r>
        <w:rPr>
          <w:rFonts w:ascii="PT Astra Serif" w:hAnsi="PT Astra Serif" w:eastAsia="Times New Roman"/>
          <w:b/>
          <w:bCs/>
          <w:sz w:val="16"/>
          <w:szCs w:val="16"/>
        </w:rPr>
      </w:r>
      <w:r>
        <w:rPr>
          <w:rFonts w:ascii="PT Astra Serif" w:hAnsi="PT Astra Serif" w:eastAsia="Times New Roman"/>
          <w:b/>
          <w:bCs/>
          <w:sz w:val="16"/>
          <w:szCs w:val="16"/>
        </w:rPr>
      </w:r>
      <w:r>
        <w:rPr>
          <w:rFonts w:ascii="PT Astra Serif" w:hAnsi="PT Astra Serif" w:eastAsia="Times New Roman"/>
          <w:b/>
          <w:bCs/>
          <w:sz w:val="16"/>
          <w:szCs w:val="16"/>
        </w:rPr>
      </w:r>
    </w:p>
    <w:p>
      <w:pPr>
        <w:ind w:left="120" w:right="-178"/>
        <w:jc w:val="both"/>
        <w:rPr>
          <w:rFonts w:ascii="PT Astra Serif" w:hAnsi="PT Astra Serif"/>
          <w:sz w:val="20"/>
          <w:szCs w:val="20"/>
        </w:rPr>
      </w:pPr>
      <w:r>
        <w:rPr>
          <w:rFonts w:ascii="PT Astra Serif" w:hAnsi="PT Astra Serif" w:eastAsia="Times New Roman"/>
          <w:bCs/>
          <w:color w:val="c00000"/>
          <w:sz w:val="24"/>
          <w:szCs w:val="24"/>
          <w:u w:val="single"/>
        </w:rPr>
        <w:t xml:space="preserve">Внимание!</w:t>
      </w:r>
      <w:r>
        <w:rPr>
          <w:rFonts w:ascii="PT Astra Serif" w:hAnsi="PT Astra Serif" w:eastAsia="Times New Roman"/>
          <w:bCs/>
          <w:color w:val="c00000"/>
          <w:sz w:val="24"/>
          <w:szCs w:val="24"/>
        </w:rPr>
        <w:t xml:space="preserve"> </w:t>
      </w:r>
      <w:r>
        <w:rPr>
          <w:rFonts w:ascii="PT Astra Serif" w:hAnsi="PT Astra Serif" w:eastAsia="Times New Roman"/>
          <w:bCs/>
          <w:color w:val="000000"/>
          <w:sz w:val="24"/>
          <w:szCs w:val="24"/>
        </w:rPr>
        <w:t xml:space="preserve">Данное информационное сообщение является публичной офертой для заключения</w:t>
      </w:r>
      <w:r>
        <w:rPr>
          <w:rFonts w:ascii="PT Astra Serif" w:hAnsi="PT Astra Serif" w:eastAsia="Times New Roman"/>
          <w:bCs/>
          <w:color w:val="c00000"/>
          <w:sz w:val="24"/>
          <w:szCs w:val="24"/>
        </w:rPr>
        <w:t xml:space="preserve"> </w:t>
      </w:r>
      <w:r>
        <w:rPr>
          <w:rFonts w:ascii="PT Astra Serif" w:hAnsi="PT Astra Serif" w:eastAsia="Times New Roman"/>
          <w:bCs/>
          <w:color w:val="000000"/>
          <w:sz w:val="24"/>
          <w:szCs w:val="24"/>
        </w:rPr>
        <w:t xml:space="preserve">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r>
        <w:rPr>
          <w:rFonts w:ascii="PT Astra Serif" w:hAnsi="PT Astra Serif"/>
          <w:sz w:val="20"/>
          <w:szCs w:val="20"/>
        </w:rPr>
      </w:r>
      <w:r>
        <w:rPr>
          <w:rFonts w:ascii="PT Astra Serif" w:hAnsi="PT Astra Serif"/>
          <w:sz w:val="20"/>
          <w:szCs w:val="20"/>
        </w:rPr>
      </w:r>
    </w:p>
    <w:p>
      <w:pPr>
        <w:pStyle w:val="696"/>
        <w:ind w:right="360"/>
        <w:spacing w:before="0" w:after="0"/>
        <w:rPr>
          <w:color w:val="143370"/>
          <w:sz w:val="24"/>
          <w:szCs w:val="24"/>
        </w:rPr>
      </w:pPr>
      <w:r>
        <w:rPr>
          <w:rFonts w:ascii="PT Astra Serif" w:hAnsi="PT Astra Serif"/>
          <w:b/>
          <w:bCs/>
          <w:sz w:val="24"/>
          <w:szCs w:val="24"/>
          <w:shd w:val="clear" w:color="auto" w:fill="ffffff"/>
        </w:rPr>
        <w:t xml:space="preserve">Номер процедуры на сайте РТС-Тендер</w:t>
      </w:r>
      <w:r>
        <w:rPr>
          <w:rFonts w:ascii="PT Astra Serif" w:hAnsi="PT Astra Serif"/>
          <w:b/>
          <w:bCs/>
          <w:sz w:val="24"/>
          <w:szCs w:val="24"/>
          <w:shd w:val="clear" w:color="auto" w:fill="ffffff"/>
        </w:rPr>
        <w:t xml:space="preserve">:</w:t>
      </w:r>
      <w:r>
        <w:rPr>
          <w:rFonts w:ascii="PT Astra Serif" w:hAnsi="PT Astra Serif"/>
          <w:b/>
          <w:bCs/>
          <w:sz w:val="24"/>
          <w:szCs w:val="24"/>
          <w:shd w:val="clear" w:color="auto" w:fill="ffffff"/>
        </w:rPr>
        <w:t xml:space="preserve"> </w:t>
      </w:r>
      <w:r>
        <w:rPr>
          <w:rFonts w:ascii="PT Astra Serif" w:hAnsi="PT Astra Serif"/>
          <w:b/>
          <w:bCs/>
          <w:sz w:val="24"/>
          <w:szCs w:val="24"/>
          <w:shd w:val="clear" w:color="auto" w:fill="ffffff"/>
        </w:rPr>
        <w:t xml:space="preserve">№ </w:t>
      </w:r>
      <w:r>
        <w:rPr>
          <w:rFonts w:ascii="PT Astra Serif" w:hAnsi="PT Astra Serif"/>
          <w:b/>
          <w:bCs/>
          <w:sz w:val="24"/>
          <w:szCs w:val="24"/>
          <w:shd w:val="clear" w:color="auto" w:fill="ffffff"/>
        </w:rPr>
        <w:t xml:space="preserve">21000022460000000131</w:t>
      </w:r>
      <w:r>
        <w:rPr>
          <w:rFonts w:ascii="PT Astra Serif" w:hAnsi="PT Astra Serif"/>
          <w:b/>
          <w:bCs/>
          <w:sz w:val="24"/>
          <w:szCs w:val="24"/>
          <w:shd w:val="clear" w:color="auto" w:fill="ffffff"/>
        </w:rPr>
      </w:r>
      <w:r>
        <w:rPr>
          <w:color w:val="143370"/>
          <w:sz w:val="24"/>
          <w:szCs w:val="24"/>
        </w:rPr>
      </w:r>
    </w:p>
    <w:p>
      <w:pPr>
        <w:spacing w:line="334" w:lineRule="exact"/>
        <w:rPr>
          <w:rFonts w:ascii="PT Astra Serif" w:hAnsi="PT Astra Serif" w:eastAsia="Times New Roman"/>
          <w:b/>
          <w:bCs/>
          <w:sz w:val="24"/>
          <w:szCs w:val="24"/>
        </w:rPr>
      </w:pPr>
      <w:r>
        <w:rPr>
          <w:rFonts w:ascii="PT Astra Serif" w:hAnsi="PT Astra Serif" w:eastAsia="Times New Roman"/>
          <w:b/>
          <w:bCs/>
          <w:sz w:val="24"/>
          <w:szCs w:val="24"/>
        </w:rPr>
        <w:t xml:space="preserve">1. Общие сведения о продаже</w:t>
      </w:r>
      <w:r>
        <w:rPr>
          <w:rFonts w:ascii="PT Astra Serif" w:hAnsi="PT Astra Serif" w:eastAsia="Times New Roman"/>
          <w:b/>
          <w:bCs/>
          <w:sz w:val="24"/>
          <w:szCs w:val="24"/>
        </w:rPr>
      </w:r>
      <w:r>
        <w:rPr>
          <w:rFonts w:ascii="PT Astra Serif" w:hAnsi="PT Astra Serif" w:eastAsia="Times New Roman"/>
          <w:b/>
          <w:bCs/>
          <w:sz w:val="24"/>
          <w:szCs w:val="24"/>
        </w:rPr>
      </w:r>
    </w:p>
    <w:tbl>
      <w:tblPr>
        <w:tblStyle w:val="881"/>
        <w:tblW w:w="10740" w:type="dxa"/>
        <w:tblLook w:val="04A0" w:firstRow="1" w:lastRow="0" w:firstColumn="1" w:lastColumn="0" w:noHBand="0" w:noVBand="1"/>
      </w:tblPr>
      <w:tblGrid>
        <w:gridCol w:w="556"/>
        <w:gridCol w:w="2529"/>
        <w:gridCol w:w="7655"/>
      </w:tblGrid>
      <w:tr>
        <w:tblPrEx/>
        <w:trPr/>
        <w:tc>
          <w:tcPr>
            <w:tcW w:w="556" w:type="dxa"/>
            <w:vMerge w:val="restart"/>
            <w:textDirection w:val="lrTb"/>
            <w:noWrap w:val="false"/>
          </w:tcPr>
          <w:p>
            <w:pPr>
              <w:jc w:val="center"/>
              <w:rPr>
                <w:rFonts w:ascii="PT Astra Serif" w:hAnsi="PT Astra Serif"/>
                <w:b/>
                <w:sz w:val="24"/>
                <w:szCs w:val="24"/>
              </w:rPr>
            </w:pPr>
            <w:r>
              <w:rPr>
                <w:rFonts w:ascii="PT Astra Serif" w:hAnsi="PT Astra Serif"/>
                <w:b/>
                <w:sz w:val="24"/>
                <w:szCs w:val="24"/>
              </w:rPr>
              <w:t xml:space="preserve">1.</w:t>
            </w:r>
            <w:r>
              <w:rPr>
                <w:rFonts w:ascii="PT Astra Serif" w:hAnsi="PT Astra Serif"/>
                <w:b/>
                <w:sz w:val="24"/>
                <w:szCs w:val="24"/>
              </w:rPr>
            </w:r>
            <w:r>
              <w:rPr>
                <w:rFonts w:ascii="PT Astra Serif" w:hAnsi="PT Astra Serif"/>
                <w:b/>
                <w:sz w:val="24"/>
                <w:szCs w:val="24"/>
              </w:rPr>
            </w:r>
          </w:p>
        </w:tc>
        <w:tc>
          <w:tcPr>
            <w:tcW w:w="2529" w:type="dxa"/>
            <w:vMerge w:val="restart"/>
            <w:textDirection w:val="lrTb"/>
            <w:noWrap w:val="false"/>
          </w:tcPr>
          <w:p>
            <w:pPr>
              <w:rPr>
                <w:rFonts w:ascii="PT Astra Serif" w:hAnsi="PT Astra Serif"/>
                <w:b/>
                <w:sz w:val="24"/>
                <w:szCs w:val="24"/>
              </w:rPr>
            </w:pPr>
            <w:r>
              <w:rPr>
                <w:rFonts w:ascii="PT Astra Serif" w:hAnsi="PT Astra Serif"/>
                <w:b/>
                <w:sz w:val="24"/>
                <w:szCs w:val="24"/>
              </w:rPr>
              <w:t xml:space="preserve">Наименование государственного органа, принявшего решение об условиях приватизации имущества, реквизиты указанного решения</w:t>
            </w:r>
            <w:r>
              <w:rPr>
                <w:rFonts w:ascii="PT Astra Serif" w:hAnsi="PT Astra Serif"/>
                <w:b/>
                <w:sz w:val="24"/>
                <w:szCs w:val="24"/>
              </w:rPr>
            </w:r>
            <w:r>
              <w:rPr>
                <w:rFonts w:ascii="PT Astra Serif" w:hAnsi="PT Astra Serif"/>
                <w:b/>
                <w:sz w:val="24"/>
                <w:szCs w:val="24"/>
              </w:rPr>
            </w:r>
          </w:p>
        </w:tc>
        <w:tc>
          <w:tcPr>
            <w:tcW w:w="7655" w:type="dxa"/>
            <w:textDirection w:val="lrTb"/>
            <w:noWrap w:val="false"/>
          </w:tcPr>
          <w:p>
            <w:pPr>
              <w:jc w:val="both"/>
              <w:spacing w:line="263" w:lineRule="exact"/>
              <w:rPr>
                <w:rFonts w:ascii="PT Astra Serif" w:hAnsi="PT Astra Serif"/>
                <w:sz w:val="20"/>
                <w:szCs w:val="20"/>
              </w:rPr>
            </w:pPr>
            <w:r>
              <w:rPr>
                <w:rFonts w:ascii="PT Astra Serif" w:hAnsi="PT Astra Serif" w:eastAsia="Times New Roman"/>
                <w:b/>
                <w:sz w:val="24"/>
                <w:szCs w:val="24"/>
              </w:rPr>
              <w:t xml:space="preserve">Наименование</w:t>
            </w:r>
            <w:r>
              <w:rPr>
                <w:rFonts w:ascii="PT Astra Serif" w:hAnsi="PT Astra Serif"/>
              </w:rPr>
              <w:t xml:space="preserve"> </w:t>
            </w:r>
            <w:r>
              <w:rPr>
                <w:rFonts w:ascii="PT Astra Serif" w:hAnsi="PT Astra Serif" w:eastAsia="Times New Roman"/>
                <w:b/>
                <w:sz w:val="24"/>
                <w:szCs w:val="24"/>
              </w:rPr>
              <w:t xml:space="preserve">государственного органа,</w:t>
            </w:r>
            <w:r>
              <w:rPr>
                <w:rFonts w:ascii="PT Astra Serif" w:hAnsi="PT Astra Serif" w:eastAsia="Times New Roman"/>
                <w:sz w:val="24"/>
                <w:szCs w:val="24"/>
              </w:rPr>
              <w:t xml:space="preserve"> принявшего решение об условиях приватизации: </w:t>
            </w:r>
            <w:r>
              <w:rPr>
                <w:rFonts w:ascii="PT Astra Serif" w:hAnsi="PT Astra Serif" w:eastAsia="Times New Roman"/>
                <w:b/>
                <w:bCs/>
                <w:sz w:val="24"/>
                <w:szCs w:val="24"/>
              </w:rPr>
              <w:t xml:space="preserve">Правительство </w:t>
            </w:r>
            <w:r>
              <w:rPr>
                <w:rFonts w:ascii="PT Astra Serif" w:hAnsi="PT Astra Serif" w:eastAsia="Times New Roman"/>
                <w:b/>
                <w:sz w:val="24"/>
                <w:szCs w:val="24"/>
              </w:rPr>
              <w:t xml:space="preserve">Томской области</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2529" w:type="dxa"/>
            <w:vMerge w:val="continue"/>
            <w:textDirection w:val="lrTb"/>
            <w:noWrap w:val="false"/>
          </w:tcPr>
          <w:p>
            <w:pP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7655" w:type="dxa"/>
            <w:textDirection w:val="lrTb"/>
            <w:noWrap w:val="false"/>
          </w:tcPr>
          <w:p>
            <w:pPr>
              <w:jc w:val="both"/>
              <w:rPr>
                <w:rFonts w:ascii="PT Astra Serif" w:hAnsi="PT Astra Serif"/>
                <w:sz w:val="20"/>
                <w:szCs w:val="20"/>
              </w:rPr>
            </w:pPr>
            <w:r>
              <w:rPr>
                <w:rFonts w:ascii="PT Astra Serif" w:hAnsi="PT Astra Serif" w:eastAsia="Times New Roman"/>
                <w:b/>
                <w:sz w:val="24"/>
                <w:szCs w:val="24"/>
              </w:rPr>
              <w:t xml:space="preserve">Реквизиты решения</w:t>
            </w:r>
            <w:r>
              <w:rPr>
                <w:rFonts w:ascii="PT Astra Serif" w:hAnsi="PT Astra Serif" w:eastAsia="Times New Roman"/>
                <w:sz w:val="24"/>
                <w:szCs w:val="24"/>
              </w:rPr>
              <w:t xml:space="preserve"> об условиях </w:t>
            </w:r>
            <w:r>
              <w:rPr>
                <w:rFonts w:ascii="PT Astra Serif" w:hAnsi="PT Astra Serif" w:eastAsia="Times New Roman"/>
                <w:sz w:val="24"/>
                <w:szCs w:val="24"/>
              </w:rPr>
              <w:t xml:space="preserve">приватизации имущества: распоряжение Администрации Томской области от</w:t>
            </w:r>
            <w:r>
              <w:rPr>
                <w:rFonts w:ascii="PT Astra Serif" w:hAnsi="PT Astra Serif" w:eastAsia="Times New Roman"/>
                <w:b/>
                <w:sz w:val="24"/>
                <w:szCs w:val="24"/>
              </w:rPr>
              <w:t xml:space="preserve"> </w:t>
            </w:r>
            <w:r>
              <w:rPr>
                <w:rFonts w:ascii="PT Astra Serif" w:hAnsi="PT Astra Serif" w:eastAsia="Times New Roman"/>
                <w:b/>
                <w:color w:val="000000" w:themeColor="text1"/>
                <w:sz w:val="24"/>
                <w:szCs w:val="24"/>
              </w:rPr>
              <w:t xml:space="preserve">10 сентября</w:t>
            </w:r>
            <w:r>
              <w:rPr>
                <w:rFonts w:ascii="PT Astra Serif" w:hAnsi="PT Astra Serif" w:eastAsia="Times New Roman"/>
                <w:b/>
                <w:color w:val="000000" w:themeColor="text1"/>
                <w:sz w:val="24"/>
                <w:szCs w:val="24"/>
              </w:rPr>
              <w:t xml:space="preserve"> 2026</w:t>
            </w:r>
            <w:r>
              <w:rPr>
                <w:rFonts w:ascii="PT Astra Serif" w:hAnsi="PT Astra Serif" w:eastAsia="Times New Roman"/>
                <w:b/>
                <w:color w:val="000000" w:themeColor="text1"/>
                <w:sz w:val="24"/>
                <w:szCs w:val="24"/>
              </w:rPr>
              <w:t xml:space="preserve"> года № 298-рп</w:t>
            </w:r>
            <w:r>
              <w:rPr>
                <w:rFonts w:ascii="PT Astra Serif" w:hAnsi="PT Astra Serif" w:eastAsia="Times New Roman"/>
                <w:color w:val="000000" w:themeColor="text1"/>
                <w:sz w:val="24"/>
                <w:szCs w:val="24"/>
              </w:rPr>
              <w:t xml:space="preserve"> </w:t>
            </w:r>
            <w:r>
              <w:rPr>
                <w:rFonts w:ascii="PT Astra Serif" w:hAnsi="PT Astra Serif" w:eastAsia="Times New Roman"/>
                <w:sz w:val="24"/>
                <w:szCs w:val="24"/>
              </w:rPr>
              <w:t xml:space="preserve">«Об условиях приватизации государственного</w:t>
            </w:r>
            <w:r>
              <w:rPr>
                <w:rFonts w:ascii="PT Astra Serif" w:hAnsi="PT Astra Serif" w:eastAsia="Times New Roman"/>
                <w:sz w:val="24"/>
                <w:szCs w:val="24"/>
              </w:rPr>
              <w:t xml:space="preserve"> имущества Томской области»</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2529" w:type="dxa"/>
            <w:vMerge w:val="continue"/>
            <w:textDirection w:val="lrTb"/>
            <w:noWrap w:val="false"/>
          </w:tcPr>
          <w:p>
            <w:pP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7655" w:type="dxa"/>
            <w:textDirection w:val="lrTb"/>
            <w:noWrap w:val="false"/>
          </w:tcPr>
          <w:p>
            <w:pPr>
              <w:jc w:val="both"/>
              <w:rPr>
                <w:rFonts w:ascii="PT Astra Serif" w:hAnsi="PT Astra Serif"/>
                <w:sz w:val="20"/>
                <w:szCs w:val="20"/>
              </w:rPr>
            </w:pPr>
            <w:r>
              <w:rPr>
                <w:rFonts w:ascii="PT Astra Serif" w:hAnsi="PT Astra Serif" w:eastAsia="Times New Roman"/>
                <w:sz w:val="24"/>
                <w:szCs w:val="24"/>
              </w:rPr>
              <w:t xml:space="preserve">Собственник имущества: Томская область в лице Департамента по управлению государственной собственностью Томской области</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2529" w:type="dxa"/>
            <w:vMerge w:val="continue"/>
            <w:textDirection w:val="lrTb"/>
            <w:noWrap w:val="false"/>
          </w:tcPr>
          <w:p>
            <w:pPr>
              <w:rPr>
                <w:rFonts w:ascii="PT Astra Serif" w:hAnsi="PT Astra Serif"/>
                <w:b/>
                <w:sz w:val="24"/>
                <w:szCs w:val="24"/>
              </w:rPr>
            </w:pPr>
            <w:r>
              <w:rPr>
                <w:rFonts w:ascii="PT Astra Serif" w:hAnsi="PT Astra Serif"/>
                <w:b/>
                <w:sz w:val="24"/>
                <w:szCs w:val="24"/>
              </w:rPr>
            </w:r>
            <w:r>
              <w:rPr>
                <w:rFonts w:ascii="PT Astra Serif" w:hAnsi="PT Astra Serif"/>
                <w:b/>
                <w:sz w:val="24"/>
                <w:szCs w:val="24"/>
              </w:rPr>
            </w:r>
            <w:r>
              <w:rPr>
                <w:rFonts w:ascii="PT Astra Serif" w:hAnsi="PT Astra Serif"/>
                <w:b/>
                <w:sz w:val="24"/>
                <w:szCs w:val="24"/>
              </w:rPr>
            </w:r>
          </w:p>
        </w:tc>
        <w:tc>
          <w:tcPr>
            <w:tcW w:w="7655" w:type="dxa"/>
            <w:vAlign w:val="bottom"/>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Место нахождения и почтовый адрес: 634034, г. Томск, пр. Кирова, 20, телефон: +7(3822) 551-700, 551-703, 551-712, адрес электронной почты: </w:t>
            </w:r>
            <w:r>
              <w:rPr>
                <w:rFonts w:ascii="PT Astra Serif" w:hAnsi="PT Astra Serif"/>
                <w:sz w:val="24"/>
                <w:szCs w:val="24"/>
              </w:rPr>
              <w:t xml:space="preserve">dugsto</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rPr>
              <w:t xml:space="preserve">.</w:t>
            </w:r>
            <w:r>
              <w:rPr>
                <w:rFonts w:ascii="PT Astra Serif" w:hAnsi="PT Astra Serif"/>
                <w:sz w:val="24"/>
                <w:szCs w:val="24"/>
              </w:rPr>
              <w:t xml:space="preserve">ru</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fai</w:t>
            </w:r>
            <w:r>
              <w:rPr>
                <w:rFonts w:ascii="PT Astra Serif" w:hAnsi="PT Astra Serif" w:eastAsia="Times New Roman"/>
                <w:sz w:val="24"/>
                <w:szCs w:val="24"/>
              </w:rPr>
              <w:t xml:space="preserve">@</w:t>
            </w:r>
            <w:r>
              <w:rPr>
                <w:rFonts w:ascii="PT Astra Serif" w:hAnsi="PT Astra Serif"/>
                <w:sz w:val="24"/>
                <w:szCs w:val="24"/>
                <w:lang w:val="en-US"/>
              </w:rPr>
              <w:t xml:space="preserve">dugs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rPr>
              <w:t xml:space="preserve">.</w:t>
            </w:r>
            <w:r>
              <w:rPr>
                <w:rFonts w:ascii="PT Astra Serif" w:hAnsi="PT Astra Serif"/>
                <w:sz w:val="24"/>
                <w:szCs w:val="24"/>
                <w:lang w:val="en-US"/>
              </w:rPr>
              <w:t xml:space="preserve">r</w:t>
            </w:r>
            <w:r>
              <w:rPr>
                <w:rFonts w:ascii="PT Astra Serif" w:hAnsi="PT Astra Serif" w:eastAsia="Times New Roman"/>
                <w:sz w:val="24"/>
                <w:szCs w:val="24"/>
                <w:lang w:val="en-US"/>
              </w:rPr>
              <w:t xml:space="preserve">u</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kes</w:t>
            </w:r>
            <w:r>
              <w:rPr>
                <w:rFonts w:ascii="PT Astra Serif" w:hAnsi="PT Astra Serif" w:eastAsia="Times New Roman"/>
                <w:sz w:val="24"/>
                <w:szCs w:val="24"/>
              </w:rPr>
              <w:t xml:space="preserve">@</w:t>
            </w:r>
            <w:r>
              <w:rPr>
                <w:rFonts w:ascii="PT Astra Serif" w:hAnsi="PT Astra Serif"/>
                <w:sz w:val="24"/>
                <w:szCs w:val="24"/>
                <w:lang w:val="en-US"/>
              </w:rPr>
              <w:t xml:space="preserve">dugs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lang w:val="en-US"/>
              </w:rPr>
              <w:t xml:space="preserve">r</w:t>
            </w:r>
            <w:r>
              <w:rPr>
                <w:rFonts w:ascii="PT Astra Serif" w:hAnsi="PT Astra Serif" w:eastAsia="Times New Roman"/>
                <w:sz w:val="24"/>
                <w:szCs w:val="24"/>
              </w:rPr>
              <w:t xml:space="preserve">u</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lang w:val="en-US"/>
              </w:rPr>
              <w:t xml:space="preserve">ktn</w:t>
            </w:r>
            <w:r>
              <w:rPr>
                <w:rFonts w:ascii="PT Astra Serif" w:hAnsi="PT Astra Serif" w:eastAsia="Times New Roman"/>
                <w:sz w:val="24"/>
                <w:szCs w:val="24"/>
              </w:rPr>
              <w:t xml:space="preserve">@</w:t>
            </w:r>
            <w:r>
              <w:rPr>
                <w:rFonts w:ascii="PT Astra Serif" w:hAnsi="PT Astra Serif"/>
                <w:sz w:val="24"/>
                <w:szCs w:val="24"/>
                <w:lang w:val="en-US"/>
              </w:rPr>
              <w:t xml:space="preserve">dugs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70</w:t>
            </w:r>
            <w:r>
              <w:rPr>
                <w:rFonts w:ascii="PT Astra Serif" w:hAnsi="PT Astra Serif"/>
                <w:sz w:val="24"/>
                <w:szCs w:val="24"/>
              </w:rPr>
              <w:t xml:space="preserve">.</w:t>
            </w:r>
            <w:r>
              <w:rPr>
                <w:rFonts w:ascii="PT Astra Serif" w:hAnsi="PT Astra Serif"/>
                <w:sz w:val="24"/>
                <w:szCs w:val="24"/>
                <w:lang w:val="en-US"/>
              </w:rPr>
              <w:t xml:space="preserve">r</w:t>
            </w:r>
            <w:r>
              <w:rPr>
                <w:rFonts w:ascii="PT Astra Serif" w:hAnsi="PT Astra Serif" w:eastAsia="Times New Roman"/>
                <w:sz w:val="24"/>
                <w:szCs w:val="24"/>
              </w:rPr>
              <w:t xml:space="preserve">u</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2529"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sz w:val="20"/>
                <w:szCs w:val="20"/>
              </w:rPr>
            </w:pPr>
            <w:r>
              <w:rPr>
                <w:rFonts w:ascii="PT Astra Serif" w:hAnsi="PT Astra Serif" w:eastAsia="Times New Roman"/>
                <w:b/>
                <w:sz w:val="24"/>
                <w:szCs w:val="24"/>
              </w:rPr>
              <w:t xml:space="preserve">Организатор торгов - электронная торговая площадк</w:t>
            </w:r>
            <w:r>
              <w:rPr>
                <w:rFonts w:ascii="PT Astra Serif" w:hAnsi="PT Astra Serif" w:eastAsia="Times New Roman"/>
                <w:b/>
                <w:sz w:val="24"/>
                <w:szCs w:val="24"/>
              </w:rPr>
              <w:t xml:space="preserve">а ООО</w:t>
            </w:r>
            <w:r>
              <w:rPr>
                <w:rFonts w:ascii="PT Astra Serif" w:hAnsi="PT Astra Serif" w:eastAsia="Times New Roman"/>
                <w:b/>
                <w:sz w:val="24"/>
                <w:szCs w:val="24"/>
              </w:rPr>
              <w:t xml:space="preserve"> «РТС – тендер»</w:t>
            </w:r>
            <w:r>
              <w:rPr>
                <w:rFonts w:ascii="PT Astra Serif" w:hAnsi="PT Astra Serif" w:eastAsia="Times New Roman"/>
                <w:sz w:val="24"/>
                <w:szCs w:val="24"/>
              </w:rPr>
              <w:t xml:space="preserve"> (</w:t>
            </w:r>
            <w:hyperlink r:id="rId10" w:tooltip="http://www.rts-tender.ru" w:history="1">
              <w:r>
                <w:rPr>
                  <w:rStyle w:val="873"/>
                  <w:rFonts w:ascii="PT Astra Serif" w:hAnsi="PT Astra Serif" w:eastAsia="Times New Roman"/>
                  <w:sz w:val="24"/>
                  <w:szCs w:val="24"/>
                </w:rPr>
                <w:t xml:space="preserve">www.rts-tender.ru</w:t>
              </w:r>
            </w:hyperlink>
            <w:r>
              <w:rPr>
                <w:rFonts w:ascii="PT Astra Serif" w:hAnsi="PT Astra Serif" w:eastAsia="Times New Roman"/>
                <w:sz w:val="24"/>
                <w:szCs w:val="24"/>
              </w:rPr>
              <w:t xml:space="preserve">)</w:t>
            </w:r>
            <w:r>
              <w:rPr>
                <w:rFonts w:ascii="PT Astra Serif" w:hAnsi="PT Astra Serif"/>
                <w:sz w:val="20"/>
                <w:szCs w:val="20"/>
              </w:rPr>
            </w:r>
            <w:r>
              <w:rPr>
                <w:rFonts w:ascii="PT Astra Serif" w:hAnsi="PT Astra Serif"/>
                <w:sz w:val="20"/>
                <w:szCs w:val="20"/>
              </w:rPr>
            </w:r>
          </w:p>
        </w:tc>
      </w:tr>
      <w:tr>
        <w:tblPrEx/>
        <w:trPr/>
        <w:tc>
          <w:tcPr>
            <w:tcW w:w="556"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2529"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sz w:val="24"/>
                <w:szCs w:val="24"/>
              </w:rPr>
            </w:pPr>
            <w:r>
              <w:rPr>
                <w:rFonts w:ascii="PT Astra Serif" w:hAnsi="PT Astra Serif" w:eastAsia="Times New Roman"/>
                <w:sz w:val="24"/>
                <w:szCs w:val="24"/>
              </w:rPr>
              <w:t xml:space="preserve">Место нахождения и почтовый адрес: 121151, г. Москва, набережная Тараса Шевченко, д.23-А,</w:t>
            </w:r>
            <w:r>
              <w:rPr>
                <w:rFonts w:ascii="PT Astra Serif" w:hAnsi="PT Astra Serif"/>
              </w:rPr>
              <w:t xml:space="preserve"> </w:t>
            </w:r>
            <w:r>
              <w:rPr>
                <w:rFonts w:ascii="PT Astra Serif" w:hAnsi="PT Astra Serif"/>
                <w:sz w:val="24"/>
                <w:szCs w:val="24"/>
              </w:rPr>
              <w:t xml:space="preserve">контактные телефоны: 8 (499) 653-77-00, а</w:t>
            </w:r>
            <w:r>
              <w:rPr>
                <w:rFonts w:ascii="PT Astra Serif" w:hAnsi="PT Astra Serif" w:eastAsia="Times New Roman"/>
                <w:sz w:val="24"/>
                <w:szCs w:val="24"/>
              </w:rPr>
              <w:t xml:space="preserve">дрес электронной почты: iSupport@rts-tender.ru</w:t>
            </w:r>
            <w:r>
              <w:rPr>
                <w:rFonts w:ascii="PT Astra Serif" w:hAnsi="PT Astra Serif"/>
                <w:sz w:val="24"/>
                <w:szCs w:val="24"/>
              </w:rPr>
            </w:r>
            <w:r>
              <w:rPr>
                <w:rFonts w:ascii="PT Astra Serif" w:hAnsi="PT Astra Serif"/>
                <w:sz w:val="24"/>
                <w:szCs w:val="24"/>
              </w:rPr>
            </w:r>
          </w:p>
        </w:tc>
      </w:tr>
      <w:tr>
        <w:tblPrEx/>
        <w:trPr/>
        <w:tc>
          <w:tcPr>
            <w:tcW w:w="556"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2529" w:type="dxa"/>
            <w:vMerge w:val="continue"/>
            <w:textDirection w:val="lrTb"/>
            <w:noWrap w:val="false"/>
          </w:tcPr>
          <w:p>
            <w:pPr>
              <w:jc w:val="center"/>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sz w:val="20"/>
                <w:szCs w:val="20"/>
              </w:rPr>
            </w:pPr>
            <w:r>
              <w:rPr>
                <w:rStyle w:val="873"/>
                <w:rFonts w:ascii="PT Astra Serif" w:hAnsi="PT Astra Serif" w:eastAsia="Times New Roman"/>
                <w:color w:val="auto"/>
                <w:sz w:val="24"/>
                <w:szCs w:val="24"/>
                <w:u w:val="none"/>
              </w:rPr>
              <w:t xml:space="preserve">Представительство в Томской области: адрес: 634029, г. Томск, </w:t>
            </w:r>
            <w:r>
              <w:rPr>
                <w:rStyle w:val="873"/>
                <w:rFonts w:ascii="PT Astra Serif" w:hAnsi="PT Astra Serif" w:eastAsia="Times New Roman"/>
                <w:color w:val="auto"/>
                <w:sz w:val="24"/>
                <w:szCs w:val="24"/>
                <w:u w:val="none"/>
              </w:rPr>
              <w:t xml:space="preserve">пр</w:t>
            </w:r>
            <w:r>
              <w:rPr>
                <w:rStyle w:val="873"/>
                <w:rFonts w:ascii="PT Astra Serif" w:hAnsi="PT Astra Serif" w:eastAsia="Times New Roman"/>
                <w:color w:val="auto"/>
                <w:sz w:val="24"/>
                <w:szCs w:val="24"/>
                <w:u w:val="none"/>
              </w:rPr>
              <w:t xml:space="preserve">.Ф</w:t>
            </w:r>
            <w:r>
              <w:rPr>
                <w:rStyle w:val="873"/>
                <w:rFonts w:ascii="PT Astra Serif" w:hAnsi="PT Astra Serif" w:eastAsia="Times New Roman"/>
                <w:color w:val="auto"/>
                <w:sz w:val="24"/>
                <w:szCs w:val="24"/>
                <w:u w:val="none"/>
              </w:rPr>
              <w:t xml:space="preserve">рунзе</w:t>
            </w:r>
            <w:r>
              <w:rPr>
                <w:rStyle w:val="873"/>
                <w:rFonts w:ascii="PT Astra Serif" w:hAnsi="PT Astra Serif" w:eastAsia="Times New Roman"/>
                <w:color w:val="auto"/>
                <w:sz w:val="24"/>
                <w:szCs w:val="24"/>
                <w:u w:val="none"/>
              </w:rPr>
              <w:t xml:space="preserve">, д. 20, офис 308, телефон: +7 (3822) 98-41-99, адрес электронной почты: a.polyakov@rts-tender.ru, a.malyshev@rts-tender.ru</w:t>
            </w:r>
            <w:r>
              <w:rPr>
                <w:rFonts w:ascii="PT Astra Serif" w:hAnsi="PT Astra Serif"/>
                <w:sz w:val="20"/>
                <w:szCs w:val="20"/>
              </w:rPr>
            </w:r>
            <w:r>
              <w:rPr>
                <w:rFonts w:ascii="PT Astra Serif" w:hAnsi="PT Astra Serif"/>
                <w:sz w:val="20"/>
                <w:szCs w:val="20"/>
              </w:rPr>
            </w:r>
          </w:p>
        </w:tc>
      </w:tr>
      <w:tr>
        <w:tblPrEx/>
        <w:trPr/>
        <w:tc>
          <w:tcPr>
            <w:tcW w:w="556" w:type="dxa"/>
            <w:textDirection w:val="lrTb"/>
            <w:noWrap w:val="false"/>
          </w:tcPr>
          <w:p>
            <w:pPr>
              <w:jc w:val="center"/>
              <w:rPr>
                <w:rFonts w:ascii="PT Astra Serif" w:hAnsi="PT Astra Serif"/>
                <w:b/>
                <w:sz w:val="24"/>
                <w:szCs w:val="24"/>
              </w:rPr>
            </w:pPr>
            <w:r>
              <w:rPr>
                <w:rFonts w:ascii="PT Astra Serif" w:hAnsi="PT Astra Serif"/>
                <w:b/>
                <w:sz w:val="24"/>
                <w:szCs w:val="24"/>
              </w:rPr>
              <w:t xml:space="preserve">2.</w:t>
            </w:r>
            <w:r>
              <w:rPr>
                <w:rFonts w:ascii="PT Astra Serif" w:hAnsi="PT Astra Serif"/>
                <w:b/>
                <w:sz w:val="24"/>
                <w:szCs w:val="24"/>
              </w:rPr>
            </w:r>
            <w:r>
              <w:rPr>
                <w:rFonts w:ascii="PT Astra Serif" w:hAnsi="PT Astra Serif"/>
                <w:b/>
                <w:sz w:val="24"/>
                <w:szCs w:val="24"/>
              </w:rPr>
            </w:r>
          </w:p>
        </w:tc>
        <w:tc>
          <w:tcPr>
            <w:tcW w:w="2529" w:type="dxa"/>
            <w:textDirection w:val="lrTb"/>
            <w:noWrap w:val="false"/>
          </w:tcPr>
          <w:p>
            <w:pPr>
              <w:rPr>
                <w:rFonts w:ascii="PT Astra Serif" w:hAnsi="PT Astra Serif"/>
                <w:sz w:val="20"/>
                <w:szCs w:val="20"/>
              </w:rPr>
            </w:pPr>
            <w:r>
              <w:rPr>
                <w:rFonts w:ascii="PT Astra Serif" w:hAnsi="PT Astra Serif" w:eastAsia="Times New Roman"/>
                <w:b/>
                <w:sz w:val="24"/>
                <w:szCs w:val="24"/>
              </w:rPr>
              <w:t xml:space="preserve">Наименование и характеристика имущества</w:t>
            </w:r>
            <w:r>
              <w:rPr>
                <w:rFonts w:ascii="PT Astra Serif" w:hAnsi="PT Astra Serif"/>
                <w:sz w:val="20"/>
                <w:szCs w:val="20"/>
              </w:rPr>
            </w:r>
            <w:r>
              <w:rPr>
                <w:rFonts w:ascii="PT Astra Serif" w:hAnsi="PT Astra Serif"/>
                <w:sz w:val="20"/>
                <w:szCs w:val="20"/>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b/>
                <w:sz w:val="24"/>
                <w:szCs w:val="24"/>
              </w:rPr>
              <w:t xml:space="preserve">Автомобиль грузовой ГАЗ-33027, год изготовления 2005, паспорт транспортного средства 52 МВ 753885</w:t>
            </w:r>
            <w:r>
              <w:rPr>
                <w:rFonts w:ascii="PT Astra Serif" w:hAnsi="PT Astra Serif"/>
                <w:b/>
                <w:sz w:val="24"/>
                <w:szCs w:val="24"/>
              </w:rPr>
              <w:t xml:space="preserve"> от 12.12.2005</w:t>
            </w:r>
            <w:r>
              <w:rPr>
                <w:rFonts w:ascii="PT Astra Serif" w:hAnsi="PT Astra Serif"/>
                <w:b/>
                <w:sz w:val="24"/>
                <w:szCs w:val="24"/>
              </w:rPr>
              <w:t xml:space="preserve">, идентификационный номер (VIN) Х9633027062101355, кузов № 330200603492</w:t>
            </w:r>
            <w:r>
              <w:rPr>
                <w:rFonts w:ascii="PT Astra Serif" w:hAnsi="PT Astra Serif"/>
                <w:b/>
                <w:sz w:val="24"/>
                <w:szCs w:val="24"/>
              </w:rPr>
              <w:t xml:space="preserve">26, шасси (рама) № отсутствует, мощность двигателя 72,2 кВт, модель № двигателя *40630С*53170731*, тип двигателя бензиновый, рабочий объем двигателя 2285 куб. см, цвет кузова белый, организация изготовитель ТС (страна) ООО «Автомобильный завод ГАЗ» Россия</w:t>
            </w:r>
            <w:r>
              <w:rPr>
                <w:rFonts w:ascii="PT Astra Serif" w:hAnsi="PT Astra Serif" w:eastAsia="Times New Roman"/>
                <w:sz w:val="24"/>
                <w:szCs w:val="24"/>
              </w:rPr>
              <w:t xml:space="preserve"> (далее - имущество).</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Сведения о наличии в отношении имущества обременения, сохраняемого при переходе прав на указанное имущество: имущество не является предметом спора и не находится под арестом, не является предметом залога.</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3.</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Способ приватизации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Продажа государственного имущества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tc>
      </w:tr>
      <w:tr>
        <w:tblPrEx/>
        <w:trPr>
          <w:trHeight w:val="278"/>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4. </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Цена первоначального предложения </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b/>
                <w:sz w:val="24"/>
                <w:szCs w:val="24"/>
                <w:u w:val="single"/>
              </w:rPr>
              <w:t xml:space="preserve">462 177</w:t>
            </w:r>
            <w:r>
              <w:rPr>
                <w:rFonts w:ascii="PT Astra Serif" w:hAnsi="PT Astra Serif"/>
                <w:sz w:val="24"/>
                <w:szCs w:val="24"/>
              </w:rPr>
              <w:t xml:space="preserve"> </w:t>
            </w:r>
            <w:r>
              <w:rPr>
                <w:rFonts w:ascii="PT Astra Serif" w:hAnsi="PT Astra Serif"/>
                <w:sz w:val="24"/>
                <w:szCs w:val="24"/>
              </w:rPr>
              <w:t xml:space="preserve">(четыреста шестьдесят две тысячи сто семьдесят семь</w:t>
            </w:r>
            <w:r>
              <w:rPr>
                <w:rFonts w:ascii="PT Astra Serif" w:hAnsi="PT Astra Serif"/>
                <w:sz w:val="24"/>
                <w:szCs w:val="24"/>
              </w:rPr>
              <w:t xml:space="preserve">) </w:t>
            </w:r>
            <w:r>
              <w:rPr>
                <w:rFonts w:ascii="PT Astra Serif" w:hAnsi="PT Astra Serif"/>
                <w:b/>
                <w:bCs/>
                <w:sz w:val="24"/>
                <w:szCs w:val="24"/>
                <w:u w:val="single"/>
              </w:rPr>
              <w:t xml:space="preserve">рублей</w:t>
            </w:r>
            <w:r>
              <w:rPr>
                <w:rFonts w:ascii="PT Astra Serif" w:hAnsi="PT Astra Serif" w:eastAsia="Times New Roman"/>
                <w:b/>
                <w:bCs/>
                <w:sz w:val="24"/>
                <w:szCs w:val="24"/>
                <w:u w:val="single"/>
              </w:rPr>
              <w:t xml:space="preserve"> </w:t>
            </w:r>
            <w:r>
              <w:rPr>
                <w:rFonts w:ascii="PT Astra Serif" w:hAnsi="PT Astra Serif" w:eastAsia="Times New Roman"/>
                <w:sz w:val="24"/>
                <w:szCs w:val="24"/>
              </w:rPr>
              <w:t xml:space="preserve">с учетом налога на добавленную стоимость (далее – НДС)</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5.</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Форма подачи предложений о приобретении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Открытая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6.</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Условия и сроки платежа, необходимые реквизиты счетов</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Оплата имущества должна быть произведена победителем </w:t>
            </w:r>
            <w:r>
              <w:rPr>
                <w:rFonts w:ascii="PT Astra Serif" w:hAnsi="PT Astra Serif" w:eastAsia="Times New Roman"/>
                <w:sz w:val="24"/>
                <w:szCs w:val="24"/>
              </w:rPr>
              <w:t xml:space="preserve">продажи посредством публичного предложения</w:t>
            </w:r>
            <w:r>
              <w:rPr>
                <w:rFonts w:ascii="PT Astra Serif" w:hAnsi="PT Astra Serif" w:eastAsia="Times New Roman"/>
                <w:sz w:val="24"/>
                <w:szCs w:val="24"/>
              </w:rPr>
              <w:t xml:space="preserve"> в течение </w:t>
            </w:r>
            <w:r>
              <w:rPr>
                <w:rFonts w:ascii="PT Astra Serif" w:hAnsi="PT Astra Serif" w:eastAsia="Times New Roman"/>
                <w:b/>
                <w:sz w:val="24"/>
                <w:szCs w:val="24"/>
              </w:rPr>
              <w:t xml:space="preserve">30 (тридцати) рабочих дней</w:t>
            </w:r>
            <w:r>
              <w:rPr>
                <w:rFonts w:ascii="PT Astra Serif" w:hAnsi="PT Astra Serif" w:eastAsia="Times New Roman"/>
                <w:sz w:val="24"/>
                <w:szCs w:val="24"/>
              </w:rPr>
              <w:t xml:space="preserve"> со дня заключения договора купли-продажи.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Реквизиты счета Продавца для перечисления платы за приобретенное на торгах имущество: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Получатель: ИНН 7017018464, КПП 701701001</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sz w:val="24"/>
                <w:szCs w:val="24"/>
              </w:rPr>
              <w:t xml:space="preserve">УФК по Томской области (Департамент по управлению государственной собственностью Томской области) лицевой счет 04652001360</w:t>
            </w:r>
            <w:r>
              <w:rPr>
                <w:rFonts w:ascii="PT Astra Serif" w:hAnsi="PT Astra Serif" w:eastAsia="Times New Roman"/>
                <w:sz w:val="24"/>
                <w:szCs w:val="24"/>
              </w:rPr>
              <w:t xml:space="preserve"> </w:t>
            </w:r>
            <w:r>
              <w:rPr>
                <w:rFonts w:ascii="PT Astra Serif" w:hAnsi="PT Astra Serif" w:eastAsia="Times New Roman"/>
                <w:sz w:val="24"/>
                <w:szCs w:val="24"/>
              </w:rPr>
            </w:r>
            <w:r>
              <w:rPr>
                <w:rFonts w:ascii="PT Astra Serif" w:hAnsi="PT Astra Serif" w:eastAsia="Times New Roman"/>
                <w:sz w:val="24"/>
                <w:szCs w:val="24"/>
              </w:rPr>
            </w:r>
          </w:p>
          <w:p>
            <w:pPr>
              <w:pStyle w:val="883"/>
              <w:rPr>
                <w:rFonts w:ascii="PT Astra Serif" w:hAnsi="PT Astra Serif"/>
                <w:sz w:val="24"/>
              </w:rPr>
            </w:pPr>
            <w:r>
              <w:rPr>
                <w:rFonts w:ascii="PT Astra Serif" w:hAnsi="PT Astra Serif"/>
                <w:sz w:val="24"/>
              </w:rPr>
              <w:t xml:space="preserve">казначейский счет № 03100643000000016500</w:t>
            </w:r>
            <w:r>
              <w:rPr>
                <w:rFonts w:ascii="PT Astra Serif" w:hAnsi="PT Astra Serif"/>
                <w:sz w:val="24"/>
              </w:rPr>
            </w:r>
            <w:r>
              <w:rPr>
                <w:rFonts w:ascii="PT Astra Serif" w:hAnsi="PT Astra Serif"/>
                <w:sz w:val="24"/>
              </w:rPr>
            </w:r>
          </w:p>
          <w:p>
            <w:pPr>
              <w:pStyle w:val="883"/>
              <w:rPr>
                <w:rFonts w:ascii="PT Astra Serif" w:hAnsi="PT Astra Serif"/>
                <w:sz w:val="24"/>
              </w:rPr>
            </w:pPr>
            <w:r>
              <w:rPr>
                <w:rFonts w:ascii="PT Astra Serif" w:hAnsi="PT Astra Serif"/>
                <w:sz w:val="24"/>
              </w:rPr>
              <w:t xml:space="preserve">единый казначейский счет № 40102810345370000130</w:t>
            </w:r>
            <w:r>
              <w:rPr>
                <w:rFonts w:ascii="PT Astra Serif" w:hAnsi="PT Astra Serif"/>
                <w:sz w:val="24"/>
              </w:rPr>
            </w:r>
            <w:r>
              <w:rPr>
                <w:rFonts w:ascii="PT Astra Serif" w:hAnsi="PT Astra Serif"/>
                <w:sz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Наименование банка: </w:t>
            </w:r>
            <w:r>
              <w:rPr>
                <w:rFonts w:ascii="PT Astra Serif" w:hAnsi="PT Astra Serif"/>
                <w:b/>
                <w:sz w:val="24"/>
                <w:szCs w:val="24"/>
              </w:rPr>
              <w:t xml:space="preserve">ОКЦ №1 Сибирского ГУ Банка России//УФК по Томской области</w:t>
            </w:r>
            <w:r>
              <w:rPr>
                <w:rFonts w:ascii="PT Astra Serif" w:hAnsi="PT Astra Serif" w:eastAsia="Times New Roman"/>
                <w:sz w:val="24"/>
                <w:szCs w:val="24"/>
              </w:rPr>
            </w:r>
            <w:r>
              <w:rPr>
                <w:rFonts w:ascii="PT Astra Serif" w:hAnsi="PT Astra Serif" w:eastAsia="Times New Roman"/>
                <w:sz w:val="24"/>
                <w:szCs w:val="24"/>
              </w:rPr>
            </w:r>
          </w:p>
          <w:p>
            <w:pPr>
              <w:pStyle w:val="883"/>
              <w:rPr>
                <w:rFonts w:ascii="PT Astra Serif" w:hAnsi="PT Astra Serif"/>
                <w:b/>
                <w:sz w:val="24"/>
              </w:rPr>
            </w:pPr>
            <w:r>
              <w:rPr>
                <w:rFonts w:ascii="PT Astra Serif" w:hAnsi="PT Astra Serif"/>
                <w:sz w:val="24"/>
              </w:rPr>
              <w:t xml:space="preserve">БИК 045004130</w:t>
            </w:r>
            <w:r>
              <w:rPr>
                <w:rFonts w:ascii="PT Astra Serif" w:hAnsi="PT Astra Serif"/>
                <w:b/>
                <w:sz w:val="24"/>
              </w:rPr>
              <w:t xml:space="preserve"> </w:t>
            </w:r>
            <w:r>
              <w:rPr>
                <w:rFonts w:ascii="PT Astra Serif" w:hAnsi="PT Astra Serif"/>
                <w:sz w:val="24"/>
              </w:rPr>
              <w:t xml:space="preserve">ОКТМО 69701000 </w:t>
            </w:r>
            <w:r>
              <w:rPr>
                <w:rFonts w:ascii="PT Astra Serif" w:hAnsi="PT Astra Serif"/>
                <w:b/>
                <w:sz w:val="24"/>
              </w:rPr>
            </w:r>
            <w:r>
              <w:rPr>
                <w:rFonts w:ascii="PT Astra Serif" w:hAnsi="PT Astra Serif"/>
                <w:b/>
                <w:sz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Код бюджетной классификации (КБК):</w:t>
            </w:r>
            <w:r>
              <w:rPr>
                <w:rFonts w:ascii="PT Astra Serif" w:hAnsi="PT Astra Serif" w:eastAsia="Times New Roman"/>
                <w:sz w:val="24"/>
                <w:szCs w:val="24"/>
              </w:rPr>
              <w:t xml:space="preserve"> </w:t>
            </w:r>
            <w:r>
              <w:rPr>
                <w:rFonts w:ascii="PT Astra Serif" w:hAnsi="PT Astra Serif" w:eastAsia="Times New Roman"/>
                <w:sz w:val="24"/>
                <w:szCs w:val="24"/>
              </w:rPr>
              <w:t xml:space="preserve">80111413020020000410.</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b/>
                <w:sz w:val="24"/>
                <w:szCs w:val="24"/>
              </w:rPr>
              <w:t xml:space="preserve">Победитель </w:t>
            </w:r>
            <w:r>
              <w:rPr>
                <w:rFonts w:ascii="PT Astra Serif" w:hAnsi="PT Astra Serif" w:eastAsia="Times New Roman"/>
                <w:b/>
                <w:sz w:val="24"/>
                <w:szCs w:val="24"/>
              </w:rPr>
              <w:t xml:space="preserve">продажи посредством публичного предложения</w:t>
            </w:r>
            <w:r>
              <w:rPr>
                <w:rFonts w:ascii="PT Astra Serif" w:hAnsi="PT Astra Serif" w:eastAsia="Times New Roman"/>
                <w:sz w:val="24"/>
                <w:szCs w:val="24"/>
              </w:rPr>
              <w:t xml:space="preserve">, являющийся налоговым агентом, за исключением физического лица, не являющегося индивидуальным предпринимателем, </w:t>
            </w:r>
            <w:r>
              <w:rPr>
                <w:rFonts w:ascii="PT Astra Serif" w:hAnsi="PT Astra Serif" w:eastAsia="Times New Roman"/>
                <w:b/>
                <w:sz w:val="24"/>
                <w:szCs w:val="24"/>
              </w:rPr>
              <w:t xml:space="preserve">самостоятельно исчисляет и уплачивает НДС</w:t>
            </w:r>
            <w:r>
              <w:rPr>
                <w:rFonts w:ascii="PT Astra Serif" w:hAnsi="PT Astra Serif" w:eastAsia="Times New Roman"/>
                <w:sz w:val="24"/>
                <w:szCs w:val="24"/>
              </w:rPr>
              <w:t xml:space="preserve"> в соответствии с налоговым законодательством.</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7.</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Размер задатка, срок и порядок его внесения, необходимые реквизиты счетов</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b/>
                <w:sz w:val="24"/>
                <w:szCs w:val="24"/>
              </w:rPr>
              <w:t xml:space="preserve">Размер задатка: </w:t>
            </w:r>
            <w:r>
              <w:rPr>
                <w:rFonts w:ascii="PT Astra Serif" w:hAnsi="PT Astra Serif"/>
                <w:b/>
                <w:sz w:val="24"/>
                <w:szCs w:val="24"/>
                <w:u w:val="single"/>
              </w:rPr>
              <w:t xml:space="preserve">46 217</w:t>
            </w:r>
            <w:r>
              <w:rPr>
                <w:rFonts w:ascii="PT Astra Serif" w:hAnsi="PT Astra Serif"/>
                <w:b/>
                <w:sz w:val="24"/>
                <w:szCs w:val="24"/>
              </w:rPr>
              <w:t xml:space="preserve"> </w:t>
            </w:r>
            <w:r>
              <w:rPr>
                <w:rFonts w:ascii="PT Astra Serif" w:hAnsi="PT Astra Serif"/>
                <w:sz w:val="24"/>
                <w:szCs w:val="24"/>
              </w:rPr>
              <w:t xml:space="preserve">(</w:t>
            </w:r>
            <w:r>
              <w:rPr>
                <w:rFonts w:ascii="PT Astra Serif" w:hAnsi="PT Astra Serif"/>
                <w:sz w:val="24"/>
                <w:szCs w:val="24"/>
              </w:rPr>
              <w:t xml:space="preserve">сорок шесть тысяч двести семнадцать</w:t>
            </w:r>
            <w:r>
              <w:rPr>
                <w:rFonts w:ascii="PT Astra Serif" w:hAnsi="PT Astra Serif"/>
                <w:sz w:val="24"/>
                <w:szCs w:val="24"/>
              </w:rPr>
              <w:t xml:space="preserve">) </w:t>
            </w:r>
            <w:r>
              <w:rPr>
                <w:rFonts w:ascii="PT Astra Serif" w:hAnsi="PT Astra Serif"/>
                <w:b/>
                <w:bCs/>
                <w:sz w:val="24"/>
                <w:szCs w:val="24"/>
                <w:u w:val="single"/>
              </w:rPr>
              <w:t xml:space="preserve">рублей </w:t>
            </w:r>
            <w:r>
              <w:rPr>
                <w:rFonts w:ascii="PT Astra Serif" w:hAnsi="PT Astra Serif"/>
                <w:b/>
                <w:bCs/>
                <w:sz w:val="24"/>
                <w:szCs w:val="24"/>
                <w:u w:val="single"/>
              </w:rPr>
              <w:t xml:space="preserve">70 копеек</w:t>
            </w:r>
            <w:r>
              <w:rPr>
                <w:rFonts w:ascii="PT Astra Serif" w:hAnsi="PT Astra Serif"/>
                <w:sz w:val="24"/>
                <w:szCs w:val="24"/>
              </w:rPr>
              <w:t xml:space="preserve"> </w:t>
            </w:r>
            <w:r>
              <w:rPr>
                <w:rFonts w:ascii="PT Astra Serif" w:hAnsi="PT Astra Serif"/>
                <w:sz w:val="24"/>
                <w:szCs w:val="24"/>
              </w:rPr>
              <w:t xml:space="preserve">(10% начальной</w:t>
            </w:r>
            <w:r>
              <w:rPr>
                <w:rFonts w:ascii="PT Astra Serif" w:hAnsi="PT Astra Serif"/>
                <w:sz w:val="24"/>
                <w:szCs w:val="24"/>
              </w:rPr>
              <w:t xml:space="preserve"> цены)</w:t>
            </w:r>
            <w:r>
              <w:rPr>
                <w:rFonts w:ascii="PT Astra Serif" w:hAnsi="PT Astra Serif"/>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Задаток</w:t>
            </w:r>
            <w:r>
              <w:rPr>
                <w:rFonts w:ascii="PT Astra Serif" w:hAnsi="PT Astra Serif" w:eastAsia="Times New Roman"/>
                <w:sz w:val="24"/>
                <w:szCs w:val="24"/>
              </w:rPr>
              <w:t xml:space="preserve"> должен поступить не </w:t>
            </w:r>
            <w:r>
              <w:rPr>
                <w:rFonts w:ascii="PT Astra Serif" w:hAnsi="PT Astra Serif" w:eastAsia="Times New Roman"/>
                <w:sz w:val="24"/>
                <w:szCs w:val="24"/>
              </w:rPr>
              <w:t xml:space="preserve">позднее </w:t>
            </w:r>
            <w:r>
              <w:rPr>
                <w:rFonts w:ascii="PT Astra Serif" w:hAnsi="PT Astra Serif" w:eastAsia="Times New Roman"/>
                <w:b/>
                <w:bCs/>
                <w:sz w:val="24"/>
                <w:szCs w:val="24"/>
                <w:highlight w:val="white"/>
                <w:u w:val="none"/>
              </w:rPr>
              <w:t xml:space="preserve">16</w:t>
            </w:r>
            <w:r>
              <w:rPr>
                <w:rFonts w:ascii="PT Astra Serif" w:hAnsi="PT Astra Serif" w:eastAsia="Times New Roman"/>
                <w:b/>
                <w:bCs/>
                <w:sz w:val="24"/>
                <w:szCs w:val="24"/>
                <w:highlight w:val="white"/>
                <w:u w:val="none"/>
              </w:rPr>
              <w:t xml:space="preserve">.10</w:t>
            </w:r>
            <w:r>
              <w:rPr>
                <w:rFonts w:ascii="PT Astra Serif" w:hAnsi="PT Astra Serif" w:eastAsia="Times New Roman"/>
                <w:b/>
                <w:bCs/>
                <w:sz w:val="24"/>
                <w:szCs w:val="24"/>
                <w:highlight w:val="white"/>
              </w:rPr>
              <w:t xml:space="preserve">.202</w:t>
            </w:r>
            <w:r>
              <w:rPr>
                <w:rFonts w:ascii="PT Astra Serif" w:hAnsi="PT Astra Serif" w:eastAsia="Times New Roman"/>
                <w:b/>
                <w:bCs/>
                <w:sz w:val="24"/>
                <w:szCs w:val="24"/>
                <w:highlight w:val="white"/>
              </w:rPr>
              <w:t xml:space="preserve">6</w:t>
            </w:r>
            <w:r>
              <w:rPr>
                <w:rFonts w:ascii="PT Astra Serif" w:hAnsi="PT Astra Serif" w:eastAsia="Times New Roman"/>
                <w:sz w:val="24"/>
                <w:szCs w:val="24"/>
              </w:rPr>
              <w:t xml:space="preserve"> по следующим реквизитам: </w:t>
            </w:r>
            <w:r>
              <w:rPr>
                <w:rFonts w:ascii="PT Astra Serif" w:hAnsi="PT Astra Serif" w:eastAsia="Times New Roman"/>
                <w:b/>
                <w:sz w:val="24"/>
                <w:szCs w:val="24"/>
              </w:rPr>
              <w:t xml:space="preserve">Получатель ООО «РТС-тендер»</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Наименование банка </w:t>
            </w:r>
            <w:r>
              <w:rPr>
                <w:rFonts w:ascii="PT Astra Serif" w:hAnsi="PT Astra Serif" w:cs="Arial"/>
                <w:sz w:val="24"/>
                <w:szCs w:val="24"/>
                <w:shd w:val="clear" w:color="auto" w:fill="ffffff"/>
              </w:rPr>
              <w:t xml:space="preserve">Филиал «Корпоративный» ПАО «</w:t>
            </w:r>
            <w:r>
              <w:rPr>
                <w:rFonts w:ascii="PT Astra Serif" w:hAnsi="PT Astra Serif" w:cs="Arial"/>
                <w:sz w:val="24"/>
                <w:szCs w:val="24"/>
                <w:shd w:val="clear" w:color="auto" w:fill="ffffff"/>
              </w:rPr>
              <w:t xml:space="preserve">Совкомбанк</w:t>
            </w:r>
            <w:r>
              <w:rPr>
                <w:rFonts w:ascii="PT Astra Serif" w:hAnsi="PT Astra Serif" w:cs="Arial"/>
                <w:sz w:val="24"/>
                <w:szCs w:val="24"/>
                <w:shd w:val="clear" w:color="auto" w:fill="ffffff"/>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Расчетный счёт </w:t>
            </w:r>
            <w:r>
              <w:rPr>
                <w:rFonts w:ascii="PT Astra Serif" w:hAnsi="PT Astra Serif" w:cs="Arial"/>
                <w:sz w:val="24"/>
                <w:szCs w:val="24"/>
                <w:shd w:val="clear" w:color="auto" w:fill="ffffff"/>
              </w:rPr>
              <w:t xml:space="preserve">40702810512030016362</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Корр. счёт </w:t>
            </w:r>
            <w:r>
              <w:rPr>
                <w:rFonts w:ascii="PT Astra Serif" w:hAnsi="PT Astra Serif" w:cs="Arial"/>
                <w:sz w:val="24"/>
                <w:szCs w:val="24"/>
                <w:shd w:val="clear" w:color="auto" w:fill="ffffff"/>
              </w:rPr>
              <w:t xml:space="preserve">30101810445250000360</w:t>
            </w:r>
            <w:r>
              <w:rPr>
                <w:rFonts w:ascii="PT Astra Serif" w:hAnsi="PT Astra Serif" w:eastAsia="Times New Roman"/>
                <w:sz w:val="24"/>
                <w:szCs w:val="24"/>
              </w:rPr>
              <w:t xml:space="preserve">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БИК </w:t>
            </w:r>
            <w:r>
              <w:rPr>
                <w:rFonts w:ascii="PT Astra Serif" w:hAnsi="PT Astra Serif" w:cs="Arial"/>
                <w:sz w:val="24"/>
                <w:szCs w:val="24"/>
                <w:shd w:val="clear" w:color="auto" w:fill="ffffff"/>
              </w:rPr>
              <w:t xml:space="preserve">044525360</w:t>
            </w:r>
            <w:r>
              <w:rPr>
                <w:rFonts w:ascii="PT Astra Serif" w:hAnsi="PT Astra Serif" w:eastAsia="Times New Roman"/>
                <w:sz w:val="24"/>
                <w:szCs w:val="24"/>
              </w:rPr>
              <w:t xml:space="preserve">  ИНН 7710357167, КПП 773001001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Назначение платежа: Внесение гарантийного обеспечения по Соглашению о внесении гарантийного обеспечения,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аналитического счета _________, без НДС.</w:t>
            </w:r>
            <w:r>
              <w:rPr>
                <w:rFonts w:ascii="PT Astra Serif" w:hAnsi="PT Astra Serif" w:eastAsia="Times New Roman"/>
                <w:sz w:val="24"/>
                <w:szCs w:val="24"/>
              </w:rPr>
            </w:r>
            <w:r>
              <w:rPr>
                <w:rFonts w:ascii="PT Astra Serif" w:hAnsi="PT Astra Serif" w:eastAsia="Times New Roman"/>
                <w:sz w:val="24"/>
                <w:szCs w:val="24"/>
              </w:rPr>
            </w:r>
          </w:p>
          <w:p>
            <w:pPr>
              <w:rPr>
                <w:rFonts w:ascii="PT Astra Serif" w:hAnsi="PT Astra Serif" w:eastAsia="Times New Roman"/>
                <w:sz w:val="24"/>
                <w:szCs w:val="24"/>
              </w:rPr>
            </w:pPr>
            <w:r>
              <w:rPr>
                <w:rFonts w:ascii="PT Astra Serif" w:hAnsi="PT Astra Serif" w:eastAsia="Times New Roman"/>
                <w:sz w:val="24"/>
                <w:szCs w:val="24"/>
              </w:rPr>
              <w:t xml:space="preserve">Документом, подтверждающим поступление задатка на счет, является выписка с этого счета.</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8.</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Величина снижения цены первоначального предложения («шаг понижения»)</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sz w:val="24"/>
                <w:szCs w:val="24"/>
              </w:rPr>
            </w:pPr>
            <w:r>
              <w:rPr>
                <w:rFonts w:ascii="PT Astra Serif" w:hAnsi="PT Astra Serif"/>
                <w:b/>
                <w:sz w:val="24"/>
                <w:szCs w:val="24"/>
              </w:rPr>
            </w:r>
            <w:r>
              <w:rPr>
                <w:rFonts w:ascii="PT Astra Serif" w:hAnsi="PT Astra Serif"/>
                <w:b/>
                <w:sz w:val="24"/>
                <w:szCs w:val="24"/>
                <w:u w:val="single"/>
              </w:rPr>
              <w:t xml:space="preserve">46 217</w:t>
            </w:r>
            <w:r>
              <w:rPr>
                <w:rFonts w:ascii="PT Astra Serif" w:hAnsi="PT Astra Serif"/>
                <w:b/>
                <w:sz w:val="24"/>
                <w:szCs w:val="24"/>
              </w:rPr>
              <w:t xml:space="preserve"> </w:t>
            </w:r>
            <w:r>
              <w:rPr>
                <w:rFonts w:ascii="PT Astra Serif" w:hAnsi="PT Astra Serif"/>
                <w:sz w:val="24"/>
                <w:szCs w:val="24"/>
              </w:rPr>
              <w:t xml:space="preserve">(</w:t>
            </w:r>
            <w:r>
              <w:rPr>
                <w:rFonts w:ascii="PT Astra Serif" w:hAnsi="PT Astra Serif"/>
                <w:sz w:val="24"/>
                <w:szCs w:val="24"/>
              </w:rPr>
              <w:t xml:space="preserve">сорок шесть тысяч двести семнадцать</w:t>
            </w:r>
            <w:r>
              <w:rPr>
                <w:rFonts w:ascii="PT Astra Serif" w:hAnsi="PT Astra Serif"/>
                <w:sz w:val="24"/>
                <w:szCs w:val="24"/>
              </w:rPr>
              <w:t xml:space="preserve">) </w:t>
            </w:r>
            <w:r>
              <w:rPr>
                <w:rFonts w:ascii="PT Astra Serif" w:hAnsi="PT Astra Serif"/>
                <w:b/>
                <w:bCs/>
                <w:sz w:val="24"/>
                <w:szCs w:val="24"/>
                <w:u w:val="single"/>
              </w:rPr>
              <w:t xml:space="preserve">рублей </w:t>
            </w:r>
            <w:r>
              <w:rPr>
                <w:rFonts w:ascii="PT Astra Serif" w:hAnsi="PT Astra Serif"/>
                <w:b/>
                <w:bCs/>
                <w:sz w:val="24"/>
                <w:szCs w:val="24"/>
                <w:u w:val="single"/>
              </w:rPr>
              <w:t xml:space="preserve">70 копеек</w:t>
            </w:r>
            <w:r>
              <w:rPr>
                <w:rFonts w:ascii="PT Astra Serif" w:hAnsi="PT Astra Serif"/>
                <w:sz w:val="24"/>
                <w:szCs w:val="24"/>
              </w:rPr>
              <w:t xml:space="preserve"> </w:t>
            </w:r>
            <w:r>
              <w:rPr>
                <w:rFonts w:ascii="PT Astra Serif" w:hAnsi="PT Astra Serif"/>
                <w:sz w:val="24"/>
                <w:szCs w:val="24"/>
              </w:rPr>
              <w:t xml:space="preserve">(10% цены первоначального предложения)</w:t>
            </w:r>
            <w:r>
              <w:rPr>
                <w:rFonts w:ascii="PT Astra Serif" w:hAnsi="PT Astra Serif" w:eastAsia="Times New Roman"/>
                <w:b/>
                <w:sz w:val="24"/>
                <w:szCs w:val="24"/>
              </w:rPr>
            </w:r>
            <w:r>
              <w:rPr>
                <w:rFonts w:ascii="PT Astra Serif" w:hAnsi="PT Astra Serif" w:eastAsia="Times New Roman"/>
                <w:b/>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9.</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Величина повышения начальной цены  («шаг аукциона»)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b/>
                <w:sz w:val="25"/>
                <w:szCs w:val="25"/>
              </w:rPr>
            </w:r>
            <w:r>
              <w:rPr>
                <w:rFonts w:ascii="PT Astra Serif" w:hAnsi="PT Astra Serif"/>
                <w:b/>
                <w:sz w:val="25"/>
                <w:szCs w:val="25"/>
                <w:u w:val="single"/>
              </w:rPr>
              <w:t xml:space="preserve">23 108</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двадцать три тысячи сто восемь</w:t>
            </w:r>
            <w:r>
              <w:rPr>
                <w:rFonts w:ascii="PT Astra Serif" w:hAnsi="PT Astra Serif"/>
                <w:sz w:val="24"/>
                <w:szCs w:val="24"/>
              </w:rPr>
              <w:t xml:space="preserve">) </w:t>
            </w:r>
            <w:r>
              <w:rPr>
                <w:rFonts w:ascii="PT Astra Serif" w:hAnsi="PT Astra Serif"/>
                <w:b/>
                <w:bCs/>
                <w:sz w:val="24"/>
                <w:szCs w:val="24"/>
                <w:u w:val="single"/>
              </w:rPr>
              <w:t xml:space="preserve">рубл</w:t>
            </w:r>
            <w:r>
              <w:rPr>
                <w:rFonts w:ascii="PT Astra Serif" w:hAnsi="PT Astra Serif"/>
                <w:b/>
                <w:bCs/>
                <w:sz w:val="24"/>
                <w:szCs w:val="24"/>
                <w:u w:val="single"/>
              </w:rPr>
              <w:t xml:space="preserve">ей 85 копеек</w:t>
            </w:r>
            <w:r>
              <w:rPr>
                <w:rFonts w:ascii="PT Astra Serif" w:hAnsi="PT Astra Serif"/>
                <w:sz w:val="24"/>
                <w:szCs w:val="24"/>
              </w:rPr>
              <w:t xml:space="preserve"> </w:t>
            </w:r>
            <w:r>
              <w:rPr>
                <w:rFonts w:ascii="PT Astra Serif" w:hAnsi="PT Astra Serif"/>
                <w:sz w:val="24"/>
                <w:szCs w:val="24"/>
              </w:rPr>
              <w:t xml:space="preserve">(50% «шага понижения»)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10.</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Минимальная цена предложения (цена отсечения)</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b/>
                <w:sz w:val="24"/>
                <w:szCs w:val="24"/>
              </w:rPr>
            </w:pPr>
            <w:r>
              <w:rPr>
                <w:rFonts w:ascii="PT Astra Serif" w:hAnsi="PT Astra Serif"/>
                <w:b/>
                <w:sz w:val="25"/>
                <w:szCs w:val="25"/>
              </w:rPr>
            </w:r>
            <w:r>
              <w:rPr>
                <w:rFonts w:ascii="PT Astra Serif" w:hAnsi="PT Astra Serif"/>
                <w:b/>
                <w:sz w:val="25"/>
                <w:szCs w:val="25"/>
                <w:u w:val="single"/>
              </w:rPr>
              <w:t xml:space="preserve">231 088</w:t>
            </w:r>
            <w:r>
              <w:rPr>
                <w:rFonts w:ascii="PT Astra Serif" w:hAnsi="PT Astra Serif"/>
                <w:b/>
                <w:sz w:val="25"/>
                <w:szCs w:val="25"/>
              </w:rPr>
              <w:t xml:space="preserve"> </w:t>
            </w:r>
            <w:r>
              <w:rPr>
                <w:rFonts w:ascii="PT Astra Serif" w:hAnsi="PT Astra Serif"/>
                <w:sz w:val="24"/>
                <w:szCs w:val="24"/>
              </w:rPr>
              <w:t xml:space="preserve">(</w:t>
            </w:r>
            <w:r>
              <w:rPr>
                <w:rFonts w:ascii="PT Astra Serif" w:hAnsi="PT Astra Serif"/>
                <w:sz w:val="24"/>
                <w:szCs w:val="24"/>
              </w:rPr>
              <w:t xml:space="preserve">двести тридцать одна тысяча восемьдесят восемь</w:t>
            </w:r>
            <w:r>
              <w:rPr>
                <w:rFonts w:ascii="PT Astra Serif" w:hAnsi="PT Astra Serif"/>
                <w:sz w:val="24"/>
                <w:szCs w:val="24"/>
              </w:rPr>
              <w:t xml:space="preserve">) </w:t>
            </w:r>
            <w:r>
              <w:rPr>
                <w:rFonts w:ascii="PT Astra Serif" w:hAnsi="PT Astra Serif"/>
                <w:b/>
                <w:bCs/>
                <w:sz w:val="24"/>
                <w:szCs w:val="24"/>
                <w:u w:val="single"/>
              </w:rPr>
              <w:t xml:space="preserve">рубл</w:t>
            </w:r>
            <w:r>
              <w:rPr>
                <w:rFonts w:ascii="PT Astra Serif" w:hAnsi="PT Astra Serif"/>
                <w:b/>
                <w:bCs/>
                <w:sz w:val="24"/>
                <w:szCs w:val="24"/>
                <w:u w:val="single"/>
              </w:rPr>
              <w:t xml:space="preserve">ей</w:t>
            </w:r>
            <w:r>
              <w:rPr>
                <w:rFonts w:ascii="PT Astra Serif" w:hAnsi="PT Astra Serif"/>
                <w:b/>
                <w:bCs/>
                <w:sz w:val="24"/>
                <w:szCs w:val="24"/>
                <w:u w:val="single"/>
              </w:rPr>
              <w:t xml:space="preserve"> </w:t>
            </w:r>
            <w:r>
              <w:rPr>
                <w:rFonts w:ascii="PT Astra Serif" w:hAnsi="PT Astra Serif"/>
                <w:b/>
                <w:bCs/>
                <w:sz w:val="24"/>
                <w:szCs w:val="24"/>
                <w:u w:val="single"/>
              </w:rPr>
              <w:t xml:space="preserve">50</w:t>
            </w:r>
            <w:r>
              <w:rPr>
                <w:rFonts w:ascii="PT Astra Serif" w:hAnsi="PT Astra Serif"/>
                <w:b/>
                <w:bCs/>
                <w:sz w:val="24"/>
                <w:szCs w:val="24"/>
                <w:u w:val="single"/>
              </w:rPr>
              <w:t xml:space="preserve"> </w:t>
            </w:r>
            <w:r>
              <w:rPr>
                <w:rFonts w:ascii="PT Astra Serif" w:hAnsi="PT Astra Serif"/>
                <w:b/>
                <w:bCs/>
                <w:sz w:val="24"/>
                <w:szCs w:val="24"/>
                <w:u w:val="single"/>
              </w:rPr>
              <w:t xml:space="preserve">копеек </w:t>
            </w:r>
            <w:r>
              <w:rPr>
                <w:rFonts w:ascii="PT Astra Serif" w:hAnsi="PT Astra Serif"/>
                <w:sz w:val="24"/>
                <w:szCs w:val="24"/>
              </w:rPr>
              <w:t xml:space="preserve">(50% начальной цены)</w:t>
            </w:r>
            <w:r>
              <w:rPr>
                <w:rFonts w:ascii="PT Astra Serif" w:hAnsi="PT Astra Serif"/>
                <w:b/>
                <w:sz w:val="24"/>
                <w:szCs w:val="24"/>
              </w:rPr>
            </w:r>
            <w:r>
              <w:rPr>
                <w:rFonts w:ascii="PT Astra Serif" w:hAnsi="PT Astra Serif"/>
                <w:b/>
                <w:sz w:val="24"/>
                <w:szCs w:val="24"/>
              </w:rPr>
            </w:r>
          </w:p>
        </w:tc>
      </w:tr>
      <w:tr>
        <w:tblPrEx/>
        <w:trPr/>
        <w:tc>
          <w:tcPr>
            <w:tcW w:w="556" w:type="dxa"/>
            <w:vMerge w:val="restart"/>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11.</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vMerge w:val="restart"/>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Порядок, место, даты начала и окончания подачи заявок</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b/>
                <w:sz w:val="24"/>
                <w:szCs w:val="24"/>
              </w:rPr>
              <w:t xml:space="preserve">Порядок </w:t>
            </w:r>
            <w:r>
              <w:rPr>
                <w:rFonts w:ascii="PT Astra Serif" w:hAnsi="PT Astra Serif" w:eastAsia="Times New Roman"/>
                <w:sz w:val="24"/>
                <w:szCs w:val="24"/>
              </w:rPr>
              <w:t xml:space="preserve">подачи заявок</w:t>
            </w:r>
            <w:r>
              <w:rPr>
                <w:rFonts w:ascii="PT Astra Serif" w:hAnsi="PT Astra Serif" w:eastAsia="Times New Roman"/>
                <w:b/>
                <w:sz w:val="24"/>
                <w:szCs w:val="24"/>
              </w:rPr>
              <w:t xml:space="preserve"> </w:t>
            </w:r>
            <w:r>
              <w:rPr>
                <w:rFonts w:ascii="PT Astra Serif" w:hAnsi="PT Astra Serif" w:eastAsia="Times New Roman"/>
                <w:sz w:val="24"/>
                <w:szCs w:val="24"/>
              </w:rPr>
              <w:t xml:space="preserve">установлен постановлением Правительства Российской Федерации от 27.08.2012 № 860 «Об организации и проведении продажи государственного и муниципального имущества в электронной форме» и регламентом электронной площадки.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Место подачи заявок: </w:t>
            </w:r>
            <w:r>
              <w:rPr>
                <w:rFonts w:ascii="PT Astra Serif" w:hAnsi="PT Astra Serif"/>
                <w:b/>
                <w:sz w:val="24"/>
                <w:szCs w:val="24"/>
              </w:rPr>
              <w:t xml:space="preserve">электронная торговая площадк</w:t>
            </w:r>
            <w:r>
              <w:rPr>
                <w:rFonts w:ascii="PT Astra Serif" w:hAnsi="PT Astra Serif"/>
                <w:b/>
                <w:sz w:val="24"/>
                <w:szCs w:val="24"/>
              </w:rPr>
              <w:t xml:space="preserve">а ООО</w:t>
            </w:r>
            <w:r>
              <w:rPr>
                <w:rFonts w:ascii="PT Astra Serif" w:hAnsi="PT Astra Serif"/>
                <w:b/>
                <w:sz w:val="24"/>
                <w:szCs w:val="24"/>
              </w:rPr>
              <w:t xml:space="preserve"> «РТС – тендер»</w:t>
            </w:r>
            <w:r>
              <w:rPr>
                <w:rFonts w:ascii="PT Astra Serif" w:hAnsi="PT Astra Serif"/>
                <w:sz w:val="24"/>
                <w:szCs w:val="24"/>
              </w:rPr>
              <w:t xml:space="preserve"> </w:t>
            </w:r>
            <w:hyperlink r:id="rId11" w:tooltip="http://www.rts-tender.ru" w:history="1">
              <w:r>
                <w:rPr>
                  <w:rStyle w:val="873"/>
                  <w:rFonts w:ascii="PT Astra Serif" w:hAnsi="PT Astra Serif" w:eastAsia="Times New Roman"/>
                  <w:b/>
                  <w:sz w:val="24"/>
                  <w:szCs w:val="24"/>
                </w:rPr>
                <w:t xml:space="preserve">www.rts-tender.ru</w:t>
              </w:r>
            </w:hyperlink>
            <w:r>
              <w:rPr>
                <w:rFonts w:ascii="PT Astra Serif" w:hAnsi="PT Astra Serif" w:eastAsia="Times New Roman"/>
                <w:b/>
                <w:sz w:val="24"/>
                <w:szCs w:val="24"/>
              </w:rPr>
              <w:t xml:space="preserve">. </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Одно лицо имеет право подать только одну заявку.</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vMerge w:val="continue"/>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vMerge w:val="continue"/>
            <w:textDirection w:val="lrTb"/>
            <w:noWrap w:val="false"/>
          </w:tcPr>
          <w:p>
            <w:pPr>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c>
          <w:tcPr>
            <w:shd w:val="clear" w:color="auto" w:fill="auto"/>
            <w:tcW w:w="7655" w:type="dxa"/>
            <w:textDirection w:val="lrTb"/>
            <w:noWrap w:val="false"/>
          </w:tcPr>
          <w:p>
            <w:pPr>
              <w:jc w:val="both"/>
              <w:rPr>
                <w:rFonts w:ascii="PT Astra Serif" w:hAnsi="PT Astra Serif" w:eastAsia="Times New Roman"/>
                <w:color w:val="000000" w:themeColor="text1"/>
                <w:sz w:val="24"/>
                <w:szCs w:val="24"/>
              </w:rPr>
            </w:pPr>
            <w:r>
              <w:rPr>
                <w:rFonts w:ascii="PT Astra Serif" w:hAnsi="PT Astra Serif" w:eastAsia="Times New Roman"/>
                <w:b/>
                <w:color w:val="000000" w:themeColor="text1"/>
                <w:sz w:val="24"/>
                <w:szCs w:val="24"/>
              </w:rPr>
              <w:t xml:space="preserve">Дата начала подачи заявок: 16</w:t>
            </w:r>
            <w:r>
              <w:rPr>
                <w:rFonts w:ascii="PT Astra Serif" w:hAnsi="PT Astra Serif" w:eastAsia="Times New Roman"/>
                <w:b/>
                <w:sz w:val="24"/>
                <w:szCs w:val="24"/>
              </w:rPr>
              <w:t xml:space="preserve"> сентября</w:t>
            </w:r>
            <w:r>
              <w:rPr>
                <w:rFonts w:ascii="PT Astra Serif" w:hAnsi="PT Astra Serif" w:eastAsia="Times New Roman"/>
                <w:b/>
                <w:sz w:val="24"/>
                <w:szCs w:val="24"/>
              </w:rPr>
              <w:t xml:space="preserve"> 2026</w:t>
            </w:r>
            <w:r>
              <w:rPr>
                <w:rFonts w:ascii="PT Astra Serif" w:hAnsi="PT Astra Serif" w:eastAsia="Times New Roman"/>
                <w:b/>
                <w:sz w:val="24"/>
                <w:szCs w:val="24"/>
              </w:rPr>
              <w:t xml:space="preserve"> года</w:t>
            </w:r>
            <w:r>
              <w:rPr>
                <w:rFonts w:ascii="PT Astra Serif" w:hAnsi="PT Astra Serif" w:eastAsia="Times New Roman"/>
                <w:sz w:val="24"/>
                <w:szCs w:val="24"/>
              </w:rPr>
              <w:t xml:space="preserve">,</w:t>
            </w:r>
            <w:r>
              <w:rPr>
                <w:rFonts w:ascii="PT Astra Serif" w:hAnsi="PT Astra Serif" w:eastAsia="Times New Roman"/>
                <w:color w:val="000000" w:themeColor="text1"/>
                <w:sz w:val="24"/>
                <w:szCs w:val="24"/>
              </w:rPr>
              <w:t xml:space="preserve"> 09</w:t>
            </w:r>
            <w:r>
              <w:rPr>
                <w:rFonts w:ascii="PT Astra Serif" w:hAnsi="PT Astra Serif" w:eastAsia="Times New Roman"/>
                <w:b/>
                <w:bCs/>
                <w:color w:val="000000" w:themeColor="text1"/>
                <w:sz w:val="24"/>
                <w:szCs w:val="24"/>
              </w:rPr>
              <w:t xml:space="preserve"> </w:t>
            </w:r>
            <w:r>
              <w:rPr>
                <w:rFonts w:ascii="PT Astra Serif" w:hAnsi="PT Astra Serif" w:eastAsia="Times New Roman"/>
                <w:color w:val="000000" w:themeColor="text1"/>
                <w:sz w:val="24"/>
                <w:szCs w:val="24"/>
              </w:rPr>
              <w:t xml:space="preserve">часов</w:t>
            </w:r>
            <w:r>
              <w:rPr>
                <w:rFonts w:ascii="PT Astra Serif" w:hAnsi="PT Astra Serif" w:eastAsia="Times New Roman"/>
                <w:b/>
                <w:bCs/>
                <w:color w:val="000000" w:themeColor="text1"/>
                <w:sz w:val="24"/>
                <w:szCs w:val="24"/>
              </w:rPr>
              <w:t xml:space="preserve"> </w:t>
            </w:r>
            <w:r>
              <w:rPr>
                <w:rFonts w:ascii="PT Astra Serif" w:hAnsi="PT Astra Serif" w:eastAsia="Times New Roman"/>
                <w:color w:val="000000" w:themeColor="text1"/>
                <w:sz w:val="24"/>
                <w:szCs w:val="24"/>
              </w:rPr>
              <w:t xml:space="preserve">00</w:t>
            </w:r>
            <w:r>
              <w:rPr>
                <w:rFonts w:ascii="PT Astra Serif" w:hAnsi="PT Astra Serif" w:eastAsia="Times New Roman"/>
                <w:b/>
                <w:bCs/>
                <w:color w:val="000000" w:themeColor="text1"/>
                <w:sz w:val="24"/>
                <w:szCs w:val="24"/>
              </w:rPr>
              <w:t xml:space="preserve"> </w:t>
            </w:r>
            <w:r>
              <w:rPr>
                <w:rFonts w:ascii="PT Astra Serif" w:hAnsi="PT Astra Serif" w:eastAsia="Times New Roman"/>
                <w:color w:val="000000" w:themeColor="text1"/>
                <w:sz w:val="24"/>
                <w:szCs w:val="24"/>
              </w:rPr>
              <w:t xml:space="preserve">минут по томскому времени</w:t>
            </w:r>
            <w:r>
              <w:rPr>
                <w:rFonts w:ascii="PT Astra Serif" w:hAnsi="PT Astra Serif" w:eastAsia="Times New Roman"/>
                <w:color w:val="000000" w:themeColor="text1"/>
                <w:sz w:val="24"/>
                <w:szCs w:val="24"/>
              </w:rPr>
            </w:r>
            <w:r>
              <w:rPr>
                <w:rFonts w:ascii="PT Astra Serif" w:hAnsi="PT Astra Serif" w:eastAsia="Times New Roman"/>
                <w:color w:val="000000" w:themeColor="text1"/>
                <w:sz w:val="24"/>
                <w:szCs w:val="24"/>
              </w:rPr>
            </w:r>
          </w:p>
        </w:tc>
      </w:tr>
      <w:tr>
        <w:tblPrEx/>
        <w:trPr/>
        <w:tc>
          <w:tcPr>
            <w:tcW w:w="556" w:type="dxa"/>
            <w:vMerge w:val="continue"/>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vMerge w:val="continue"/>
            <w:textDirection w:val="lrTb"/>
            <w:noWrap w:val="false"/>
          </w:tcPr>
          <w:p>
            <w:pPr>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c>
          <w:tcPr>
            <w:shd w:val="clear" w:color="auto" w:fill="auto"/>
            <w:tcW w:w="7655" w:type="dxa"/>
            <w:textDirection w:val="lrTb"/>
            <w:noWrap w:val="false"/>
          </w:tcPr>
          <w:p>
            <w:pPr>
              <w:jc w:val="both"/>
              <w:rPr>
                <w:rFonts w:ascii="PT Astra Serif" w:hAnsi="PT Astra Serif" w:eastAsia="Times New Roman"/>
                <w:color w:val="000000" w:themeColor="text1"/>
                <w:sz w:val="24"/>
                <w:szCs w:val="24"/>
              </w:rPr>
            </w:pPr>
            <w:r>
              <w:rPr>
                <w:rFonts w:ascii="PT Astra Serif" w:hAnsi="PT Astra Serif" w:eastAsia="Times New Roman"/>
                <w:b/>
                <w:color w:val="000000" w:themeColor="text1"/>
                <w:sz w:val="24"/>
                <w:szCs w:val="24"/>
              </w:rPr>
              <w:t xml:space="preserve">Дата окончания подачи </w:t>
            </w:r>
            <w:r>
              <w:rPr>
                <w:rFonts w:ascii="PT Astra Serif" w:hAnsi="PT Astra Serif" w:eastAsia="Times New Roman"/>
                <w:b/>
                <w:sz w:val="24"/>
                <w:szCs w:val="24"/>
              </w:rPr>
              <w:t xml:space="preserve">заявок: 16</w:t>
            </w:r>
            <w:r>
              <w:rPr>
                <w:rFonts w:ascii="PT Astra Serif" w:hAnsi="PT Astra Serif" w:eastAsia="Times New Roman"/>
                <w:b/>
                <w:sz w:val="24"/>
                <w:szCs w:val="24"/>
              </w:rPr>
              <w:t xml:space="preserve"> октября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sz w:val="24"/>
                <w:szCs w:val="24"/>
              </w:rPr>
              <w:t xml:space="preserve"> 18</w:t>
            </w:r>
            <w:r>
              <w:rPr>
                <w:rFonts w:ascii="PT Astra Serif" w:hAnsi="PT Astra Serif" w:eastAsia="Times New Roman"/>
                <w:color w:val="000000" w:themeColor="text1"/>
                <w:sz w:val="24"/>
                <w:szCs w:val="24"/>
              </w:rPr>
              <w:t xml:space="preserve"> часов 00 минут по томскому времени</w:t>
            </w:r>
            <w:r>
              <w:rPr>
                <w:rFonts w:ascii="PT Astra Serif" w:hAnsi="PT Astra Serif" w:eastAsia="Times New Roman"/>
                <w:color w:val="000000" w:themeColor="text1"/>
                <w:sz w:val="24"/>
                <w:szCs w:val="24"/>
              </w:rPr>
            </w:r>
            <w:r>
              <w:rPr>
                <w:rFonts w:ascii="PT Astra Serif" w:hAnsi="PT Astra Serif" w:eastAsia="Times New Roman"/>
                <w:color w:val="000000" w:themeColor="text1"/>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12.</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Исчерпывающий перечень представляемых участниками торгов </w:t>
            </w:r>
            <w:r>
              <w:rPr>
                <w:rFonts w:ascii="PT Astra Serif" w:hAnsi="PT Astra Serif" w:eastAsia="Times New Roman"/>
                <w:b/>
                <w:sz w:val="24"/>
                <w:szCs w:val="24"/>
              </w:rPr>
              <w:t xml:space="preserve">документов и требования к их оформлению</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Заявка и иные представленные одновременно с ней документы подаются </w:t>
            </w:r>
            <w:r>
              <w:rPr>
                <w:rFonts w:ascii="PT Astra Serif" w:hAnsi="PT Astra Serif" w:eastAsia="Times New Roman"/>
                <w:b/>
                <w:sz w:val="24"/>
                <w:szCs w:val="24"/>
              </w:rPr>
              <w:t xml:space="preserve">в форме электронных документов</w:t>
            </w:r>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Юридические лица</w:t>
            </w:r>
            <w:r>
              <w:rPr>
                <w:rFonts w:ascii="PT Astra Serif" w:hAnsi="PT Astra Serif"/>
              </w:rPr>
              <w:t xml:space="preserve"> </w:t>
            </w:r>
            <w:r>
              <w:rPr>
                <w:rFonts w:ascii="PT Astra Serif" w:hAnsi="PT Astra Serif" w:eastAsia="Times New Roman"/>
                <w:b/>
                <w:sz w:val="24"/>
                <w:szCs w:val="24"/>
              </w:rPr>
              <w:t xml:space="preserve">представляют следующие документы:</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 </w:t>
            </w:r>
            <w:r>
              <w:rPr>
                <w:rFonts w:ascii="PT Astra Serif" w:hAnsi="PT Astra Serif" w:eastAsia="Times New Roman"/>
                <w:sz w:val="24"/>
                <w:szCs w:val="24"/>
              </w:rPr>
              <w:t xml:space="preserve">заявку на участие в торгах установленной формы;</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заверенные копии учредительных документов;</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документ, содержащий сведения о доле Российской Фе</w:t>
            </w:r>
            <w:r>
              <w:rPr>
                <w:rFonts w:ascii="PT Astra Serif" w:hAnsi="PT Astra Serif" w:eastAsia="Times New Roman"/>
                <w:sz w:val="24"/>
                <w:szCs w:val="24"/>
              </w:rPr>
              <w:t xml:space="preserve">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документ, который подтверждает полномочия руководителя юрид</w:t>
            </w:r>
            <w:r>
              <w:rPr>
                <w:rFonts w:ascii="PT Astra Serif" w:hAnsi="PT Astra Serif" w:eastAsia="Times New Roman"/>
                <w:sz w:val="24"/>
                <w:szCs w:val="24"/>
              </w:rPr>
              <w:t xml:space="preserve">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опись представленных документов.</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Физические лица представляют следующие документы: </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заявку на участие в торгах установленной формы;</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b/>
                <w:sz w:val="24"/>
                <w:szCs w:val="24"/>
              </w:rPr>
              <w:t xml:space="preserve">- </w:t>
            </w:r>
            <w:r>
              <w:rPr>
                <w:rFonts w:ascii="PT Astra Serif" w:hAnsi="PT Astra Serif" w:eastAsia="Times New Roman"/>
                <w:sz w:val="24"/>
                <w:szCs w:val="24"/>
              </w:rPr>
              <w:t xml:space="preserve">копию всех листов документа, удостоверяющего личность;</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опись  представленных документов.</w:t>
            </w:r>
            <w:r>
              <w:rPr>
                <w:rFonts w:ascii="PT Astra Serif" w:hAnsi="PT Astra Serif" w:eastAsia="Times New Roman"/>
                <w:sz w:val="24"/>
                <w:szCs w:val="24"/>
              </w:rPr>
            </w:r>
            <w:r>
              <w:rPr>
                <w:rFonts w:ascii="PT Astra Serif" w:hAnsi="PT Astra Serif" w:eastAsia="Times New Roman"/>
                <w:sz w:val="24"/>
                <w:szCs w:val="24"/>
              </w:rPr>
            </w:r>
          </w:p>
          <w:p>
            <w:pPr>
              <w:ind w:firstLine="459"/>
              <w:jc w:val="both"/>
              <w:rPr>
                <w:rFonts w:ascii="PT Astra Serif" w:hAnsi="PT Astra Serif" w:eastAsia="Times New Roman"/>
                <w:sz w:val="24"/>
                <w:szCs w:val="24"/>
              </w:rPr>
            </w:pPr>
            <w:r>
              <w:rPr>
                <w:rFonts w:ascii="PT Astra Serif" w:hAnsi="PT Astra Serif" w:eastAsia="Times New Roman"/>
                <w:sz w:val="24"/>
                <w:szCs w:val="24"/>
              </w:rPr>
              <w:t xml:space="preserve">В случае если </w:t>
            </w:r>
            <w:r>
              <w:rPr>
                <w:rFonts w:ascii="PT Astra Serif" w:hAnsi="PT Astra Serif" w:eastAsia="Times New Roman"/>
                <w:sz w:val="24"/>
                <w:szCs w:val="24"/>
              </w:rPr>
              <w:t xml:space="preserve">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r>
              <w:rPr>
                <w:rFonts w:ascii="PT Astra Serif" w:hAnsi="PT Astra Serif" w:eastAsia="Times New Roman"/>
                <w:sz w:val="24"/>
                <w:szCs w:val="24"/>
              </w:rPr>
              <w:t xml:space="preserve">,</w:t>
            </w:r>
            <w:r>
              <w:rPr>
                <w:rFonts w:ascii="PT Astra Serif" w:hAnsi="PT Astra Serif" w:eastAsia="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r>
              <w:rPr>
                <w:rFonts w:ascii="PT Astra Serif" w:hAnsi="PT Astra Serif" w:eastAsia="Times New Roman"/>
                <w:sz w:val="24"/>
                <w:szCs w:val="24"/>
              </w:rPr>
            </w:r>
            <w:r>
              <w:rPr>
                <w:rFonts w:ascii="PT Astra Serif" w:hAnsi="PT Astra Serif" w:eastAsia="Times New Roman"/>
                <w:sz w:val="24"/>
                <w:szCs w:val="24"/>
              </w:rPr>
            </w:r>
          </w:p>
          <w:p>
            <w:pPr>
              <w:ind w:firstLine="459"/>
              <w:jc w:val="both"/>
              <w:rPr>
                <w:rFonts w:ascii="PT Astra Serif" w:hAnsi="PT Astra Serif" w:eastAsia="Times New Roman"/>
                <w:sz w:val="24"/>
                <w:szCs w:val="24"/>
              </w:rPr>
            </w:pPr>
            <w:r>
              <w:rPr>
                <w:rFonts w:ascii="PT Astra Serif" w:hAnsi="PT Astra Serif" w:eastAsia="Times New Roman"/>
                <w:sz w:val="24"/>
                <w:szCs w:val="24"/>
              </w:rPr>
              <w:t xml:space="preserve">Вс</w:t>
            </w:r>
            <w:r>
              <w:rPr>
                <w:rFonts w:ascii="PT Astra Serif" w:hAnsi="PT Astra Serif" w:eastAsia="Times New Roman"/>
                <w:sz w:val="24"/>
                <w:szCs w:val="24"/>
              </w:rPr>
              <w:t xml:space="preserve">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13.</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Срок заключения договора купли-продажи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t xml:space="preserve">Не ранее чем через десять дней и не позднее двадцати дней со дня размещения на официальном сайте в сети «Интернет» https://www.torgi.gov.гu протокола об итогах </w:t>
            </w:r>
            <w:r>
              <w:rPr>
                <w:rFonts w:ascii="PT Astra Serif" w:hAnsi="PT Astra Serif" w:eastAsia="Times New Roman"/>
                <w:sz w:val="24"/>
                <w:szCs w:val="24"/>
              </w:rPr>
              <w:t xml:space="preserve">проведения</w:t>
            </w:r>
            <w:r>
              <w:rPr>
                <w:rFonts w:ascii="PT Astra Serif" w:hAnsi="PT Astra Serif" w:eastAsia="Times New Roman"/>
                <w:sz w:val="24"/>
                <w:szCs w:val="24"/>
              </w:rPr>
              <w:t xml:space="preserve"> продажи имущества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14.</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Порядок ознакомления покупателей с иной информацией, условиями договора купли-продажи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sz w:val="24"/>
                <w:szCs w:val="24"/>
              </w:rPr>
              <w:t xml:space="preserve">Информация о подлежащем приватизации имуществе предоставляется в письменной фор</w:t>
            </w:r>
            <w:r>
              <w:rPr>
                <w:rFonts w:ascii="PT Astra Serif" w:hAnsi="PT Astra Serif" w:eastAsia="Times New Roman"/>
                <w:sz w:val="24"/>
                <w:szCs w:val="24"/>
              </w:rPr>
              <w:t xml:space="preserve">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 г. Томск, пр. Кирова, 20, кабинет 2, 12, номера телефонов: (3822) 551-712, 551-711, 551-703. </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Проект договора купли-продажи имущества содержится в документации о продаже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Также с информацией можно ознакомиться на официальном сайте РФ о проведении торгов: </w:t>
            </w:r>
            <w:hyperlink r:id="rId12" w:tooltip="https://www.torgi.gov.гu" w:history="1">
              <w:r>
                <w:rPr>
                  <w:rStyle w:val="873"/>
                  <w:rFonts w:ascii="PT Astra Serif" w:hAnsi="PT Astra Serif" w:eastAsia="Times New Roman"/>
                  <w:sz w:val="24"/>
                  <w:szCs w:val="24"/>
                </w:rPr>
                <w:t xml:space="preserve">https://www.torgi.gov.гu</w:t>
              </w:r>
            </w:hyperlink>
            <w:r>
              <w:rPr>
                <w:rFonts w:ascii="PT Astra Serif" w:hAnsi="PT Astra Serif" w:eastAsia="Times New Roman"/>
                <w:sz w:val="24"/>
                <w:szCs w:val="24"/>
              </w:rPr>
              <w:t xml:space="preserve">, на официальном сайте Департамента по управлению государственной собственностью Томской области </w:t>
            </w:r>
            <w:hyperlink r:id="rId13" w:tooltip="https://dugs.tomsk.gov.ru/privatizatsija-prodazha-gosudarstvennogo-imuschestva" w:history="1">
              <w:r>
                <w:rPr>
                  <w:rStyle w:val="873"/>
                  <w:rFonts w:ascii="PT Astra Serif" w:hAnsi="PT Astra Serif" w:eastAsia="Times New Roman"/>
                  <w:sz w:val="24"/>
                  <w:szCs w:val="24"/>
                </w:rPr>
                <w:t xml:space="preserve">https://dugs.tomsk.gov.ru</w:t>
              </w:r>
            </w:hyperlink>
            <w:r>
              <w:rPr>
                <w:rFonts w:ascii="PT Astra Serif" w:hAnsi="PT Astra Serif" w:eastAsia="Times New Roman"/>
                <w:sz w:val="24"/>
                <w:szCs w:val="24"/>
              </w:rPr>
              <w:t xml:space="preserve">.</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15. </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Ограничения участия отдельных </w:t>
            </w:r>
            <w:r>
              <w:rPr>
                <w:rFonts w:ascii="PT Astra Serif" w:hAnsi="PT Astra Serif" w:eastAsia="Times New Roman"/>
                <w:b/>
                <w:sz w:val="24"/>
                <w:szCs w:val="24"/>
              </w:rPr>
              <w:t xml:space="preserve">категорий физических лиц и юридических лиц в приватизации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sz w:val="24"/>
                <w:szCs w:val="24"/>
              </w:rPr>
            </w:pPr>
            <w:r>
              <w:rPr>
                <w:rFonts w:ascii="PT Astra Serif" w:hAnsi="PT Astra Serif" w:eastAsia="Times New Roman"/>
                <w:sz w:val="24"/>
                <w:szCs w:val="24"/>
              </w:rPr>
              <w:t xml:space="preserve">Покупателями государственного и муниципального имущества могут быть любые физические и юридические лица </w:t>
            </w:r>
            <w:r>
              <w:rPr>
                <w:rFonts w:ascii="PT Astra Serif" w:hAnsi="PT Astra Serif" w:eastAsia="Times New Roman"/>
                <w:b/>
                <w:sz w:val="24"/>
                <w:szCs w:val="24"/>
              </w:rPr>
              <w:t xml:space="preserve">за исключением:</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государственных и муниципальных унитарных предприятий, государственных и муниципальных учреждений;</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w:t>
            </w:r>
            <w:r>
              <w:rPr>
                <w:rFonts w:ascii="PT Astra Serif" w:hAnsi="PT Astra Serif" w:eastAsia="Times New Roman"/>
                <w:sz w:val="24"/>
                <w:szCs w:val="24"/>
              </w:rPr>
              <w:t xml:space="preserve">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r>
              <w:rPr>
                <w:rFonts w:ascii="PT Astra Serif" w:hAnsi="PT Astra Serif" w:eastAsia="Times New Roman"/>
                <w:sz w:val="24"/>
                <w:szCs w:val="24"/>
              </w:rPr>
              <w:t xml:space="preserve">бенефициарных</w:t>
            </w:r>
            <w:r>
              <w:rPr>
                <w:rFonts w:ascii="PT Astra Serif" w:hAnsi="PT Astra Serif" w:eastAsia="Times New Roman"/>
                <w:sz w:val="24"/>
                <w:szCs w:val="24"/>
              </w:rPr>
              <w:t xml:space="preserve"> владельцах и контролирующих лицах в порядке, установленном Правительством Российской</w:t>
            </w:r>
            <w:r>
              <w:rPr>
                <w:rFonts w:ascii="PT Astra Serif" w:hAnsi="PT Astra Serif" w:eastAsia="Times New Roman"/>
                <w:sz w:val="24"/>
                <w:szCs w:val="24"/>
              </w:rPr>
              <w:t xml:space="preserve"> Федерации;</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Понятие «контролирующее лицо» используется в том же значении, что и в ста</w:t>
            </w:r>
            <w:r>
              <w:rPr>
                <w:rFonts w:ascii="PT Astra Serif" w:hAnsi="PT Astra Serif" w:eastAsia="Times New Roman"/>
                <w:sz w:val="24"/>
                <w:szCs w:val="24"/>
              </w:rPr>
              <w:t xml:space="preserve">тье 5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w:t>
            </w:r>
            <w:r>
              <w:rPr>
                <w:rFonts w:ascii="PT Astra Serif" w:hAnsi="PT Astra Serif" w:eastAsia="Times New Roman"/>
                <w:sz w:val="24"/>
                <w:szCs w:val="24"/>
              </w:rPr>
              <w:t xml:space="preserve">бенефициарный</w:t>
            </w:r>
            <w:r>
              <w:rPr>
                <w:rFonts w:ascii="PT Astra Serif" w:hAnsi="PT Astra Serif" w:eastAsia="Times New Roman"/>
                <w:sz w:val="24"/>
                <w:szCs w:val="24"/>
              </w:rPr>
              <w:t xml:space="preserve"> владелец» используются в значениях, указанных в статье 3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w:t>
            </w:r>
            <w:r>
              <w:rPr>
                <w:rFonts w:ascii="PT Astra Serif" w:hAnsi="PT Astra Serif" w:eastAsia="Times New Roman"/>
                <w:sz w:val="24"/>
                <w:szCs w:val="24"/>
              </w:rPr>
            </w:r>
            <w:r>
              <w:rPr>
                <w:rFonts w:ascii="PT Astra Serif" w:hAnsi="PT Astra Serif" w:eastAsia="Times New Roman"/>
                <w:sz w:val="24"/>
                <w:szCs w:val="24"/>
              </w:rPr>
            </w:r>
          </w:p>
          <w:p>
            <w:pPr>
              <w:jc w:val="both"/>
              <w:rPr>
                <w:rFonts w:ascii="PT Astra Serif" w:hAnsi="PT Astra Serif" w:eastAsia="Times New Roman"/>
                <w:sz w:val="24"/>
                <w:szCs w:val="24"/>
              </w:rPr>
            </w:pPr>
            <w:r>
              <w:rPr>
                <w:rFonts w:ascii="PT Astra Serif" w:hAnsi="PT Astra Serif" w:eastAsia="Times New Roman"/>
                <w:sz w:val="24"/>
                <w:szCs w:val="24"/>
              </w:rPr>
              <w:t xml:space="preserve">В случае если впоследствии будет установлено, что покупатель государственного имущества не имел законное право на его приобретение, соответствующая сделка является ничтожной.</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16.</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День определения участников торгов</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sz w:val="24"/>
                <w:szCs w:val="24"/>
              </w:rPr>
            </w:pPr>
            <w:r>
              <w:rPr>
                <w:rFonts w:ascii="PT Astra Serif" w:hAnsi="PT Astra Serif" w:eastAsia="Times New Roman"/>
                <w:b/>
                <w:sz w:val="24"/>
                <w:szCs w:val="24"/>
              </w:rPr>
              <w:t xml:space="preserve">19 октября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Продавец рассматривает заявки и документы претендентов и устанавливает факт пост</w:t>
            </w:r>
            <w:r>
              <w:rPr>
                <w:rFonts w:ascii="PT Astra Serif" w:hAnsi="PT Astra Serif" w:eastAsia="Times New Roman"/>
                <w:sz w:val="24"/>
                <w:szCs w:val="24"/>
              </w:rPr>
              <w:t xml:space="preserve">упления сумм задатков. По результатам рассмотрения заявок и документов принимается решение о допуске к участию либо об отказе в допуске к участию. В случае если не подано ни одной заявки продажа посредством публичного предложения признается несостоявшейся.</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17.</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Порядок определения победителя продажи посредством публичного предложения</w:t>
            </w:r>
            <w:r>
              <w:rPr>
                <w:rFonts w:ascii="PT Astra Serif" w:hAnsi="PT Astra Serif" w:eastAsia="Times New Roman"/>
                <w:b/>
                <w:color w:val="ff0000"/>
                <w:sz w:val="24"/>
                <w:szCs w:val="24"/>
              </w:rPr>
              <w:t xml:space="preserve"> </w:t>
            </w:r>
            <w:r>
              <w:rPr>
                <w:rFonts w:ascii="PT Astra Serif" w:hAnsi="PT Astra Serif" w:eastAsia="Times New Roman"/>
                <w:b/>
                <w:sz w:val="24"/>
                <w:szCs w:val="24"/>
              </w:rPr>
              <w:t xml:space="preserve"> </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cs="PT Astra Serif"/>
                <w:bCs/>
                <w:sz w:val="24"/>
                <w:szCs w:val="24"/>
              </w:rPr>
            </w:pPr>
            <w:r>
              <w:rPr>
                <w:rFonts w:ascii="PT Astra Serif" w:hAnsi="PT Astra Serif" w:cs="PT Astra Serif"/>
                <w:bCs/>
                <w:sz w:val="24"/>
                <w:szCs w:val="24"/>
              </w:rPr>
              <w:t xml:space="preserve">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r>
              <w:rPr>
                <w:rFonts w:ascii="PT Astra Serif" w:hAnsi="PT Astra Serif" w:cs="PT Astra Serif"/>
                <w:bCs/>
                <w:sz w:val="24"/>
                <w:szCs w:val="24"/>
              </w:rPr>
            </w:r>
            <w:r>
              <w:rPr>
                <w:rFonts w:ascii="PT Astra Serif" w:hAnsi="PT Astra Serif" w:cs="PT Astra Serif"/>
                <w:bCs/>
                <w:sz w:val="24"/>
                <w:szCs w:val="24"/>
              </w:rPr>
            </w:r>
          </w:p>
          <w:p>
            <w:pPr>
              <w:jc w:val="both"/>
              <w:rPr>
                <w:rFonts w:ascii="PT Astra Serif" w:hAnsi="PT Astra Serif" w:cs="PT Astra Serif"/>
                <w:bCs/>
                <w:sz w:val="24"/>
                <w:szCs w:val="24"/>
              </w:rPr>
            </w:pPr>
            <w:r>
              <w:rPr>
                <w:rFonts w:ascii="PT Astra Serif" w:hAnsi="PT Astra Serif" w:cs="PT Astra Serif"/>
                <w:bCs/>
                <w:sz w:val="24"/>
                <w:szCs w:val="24"/>
              </w:rPr>
              <w:t xml:space="preserve">В случае</w:t>
            </w:r>
            <w:r>
              <w:rPr>
                <w:rFonts w:ascii="PT Astra Serif" w:hAnsi="PT Astra Serif" w:cs="PT Astra Serif"/>
                <w:bCs/>
                <w:sz w:val="24"/>
                <w:szCs w:val="24"/>
              </w:rPr>
              <w:t xml:space="preserve">,</w:t>
            </w:r>
            <w:r>
              <w:rPr>
                <w:rFonts w:ascii="PT Astra Serif" w:hAnsi="PT Astra Serif" w:cs="PT Astra Serif"/>
                <w:bCs/>
                <w:sz w:val="24"/>
                <w:szCs w:val="24"/>
              </w:rPr>
              <w:t xml:space="preserve"> если несколько участников подтверждают цену первоначального п</w:t>
            </w:r>
            <w:r>
              <w:rPr>
                <w:rFonts w:ascii="PT Astra Serif" w:hAnsi="PT Astra Serif" w:cs="PT Astra Serif"/>
                <w:bCs/>
                <w:sz w:val="24"/>
                <w:szCs w:val="24"/>
              </w:rPr>
              <w:t xml:space="preserve">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цена первоначального предложения или цена предложения, сложившаяся на данном «шаге понижения</w:t>
            </w:r>
            <w:r>
              <w:rPr>
                <w:rFonts w:ascii="PT Astra Serif" w:hAnsi="PT Astra Serif" w:cs="PT Astra Serif"/>
                <w:bCs/>
                <w:sz w:val="24"/>
                <w:szCs w:val="24"/>
              </w:rPr>
              <w:t xml:space="preserve">».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w:t>
            </w:r>
            <w:r>
              <w:rPr>
                <w:rFonts w:ascii="PT Astra Serif" w:hAnsi="PT Astra Serif" w:cs="PT Astra Serif"/>
                <w:bCs/>
                <w:sz w:val="24"/>
                <w:szCs w:val="24"/>
              </w:rPr>
              <w:t xml:space="preserve">редством публичного предложения.</w:t>
            </w:r>
            <w:r>
              <w:rPr>
                <w:rFonts w:ascii="PT Astra Serif" w:hAnsi="PT Astra Serif" w:cs="PT Astra Serif"/>
                <w:bCs/>
                <w:sz w:val="24"/>
                <w:szCs w:val="24"/>
              </w:rPr>
            </w:r>
            <w:r>
              <w:rPr>
                <w:rFonts w:ascii="PT Astra Serif" w:hAnsi="PT Astra Serif" w:cs="PT Astra Serif"/>
                <w:bCs/>
                <w:sz w:val="24"/>
                <w:szCs w:val="24"/>
              </w:rPr>
            </w:r>
          </w:p>
          <w:p>
            <w:pPr>
              <w:jc w:val="both"/>
              <w:rPr>
                <w:rFonts w:ascii="PT Astra Serif" w:hAnsi="PT Astra Serif" w:cs="PT Astra Serif"/>
                <w:sz w:val="24"/>
                <w:szCs w:val="24"/>
              </w:rPr>
            </w:pPr>
            <w:r>
              <w:rPr>
                <w:rFonts w:ascii="PT Astra Serif" w:hAnsi="PT Astra Serif" w:cs="PT Astra Serif"/>
                <w:sz w:val="24"/>
                <w:szCs w:val="24"/>
              </w:rPr>
              <w:t xml:space="preserve">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r>
              <w:rPr>
                <w:rFonts w:ascii="PT Astra Serif" w:hAnsi="PT Astra Serif" w:cs="PT Astra Serif"/>
                <w:sz w:val="24"/>
                <w:szCs w:val="24"/>
              </w:rPr>
            </w:r>
            <w:r>
              <w:rPr>
                <w:rFonts w:ascii="PT Astra Serif" w:hAnsi="PT Astra Serif" w:cs="PT Astra Serif"/>
                <w:sz w:val="24"/>
                <w:szCs w:val="24"/>
              </w:rPr>
            </w:r>
          </w:p>
          <w:p>
            <w:pPr>
              <w:jc w:val="both"/>
              <w:rPr>
                <w:rFonts w:ascii="PT Astra Serif" w:hAnsi="PT Astra Serif" w:cs="PT Astra Serif"/>
                <w:color w:val="000000" w:themeColor="text1"/>
                <w:sz w:val="24"/>
                <w:szCs w:val="24"/>
                <w:highlight w:val="white"/>
              </w:rPr>
            </w:pPr>
            <w:r>
              <w:rPr>
                <w:rFonts w:ascii="PT Astra Serif" w:hAnsi="PT Astra Serif" w:cs="PT Astra Serif"/>
                <w:sz w:val="24"/>
                <w:szCs w:val="24"/>
              </w:rPr>
              <w:t xml:space="preserve">Продажа посредством публичного предложения, в которой принял участие только один участник, признается несостоявшейся</w:t>
            </w:r>
            <w:r>
              <w:rPr>
                <w:rFonts w:ascii="PT Astra Serif" w:hAnsi="PT Astra Serif" w:cs="PT Astra Serif"/>
                <w:color w:val="000000" w:themeColor="text1"/>
                <w:sz w:val="24"/>
                <w:szCs w:val="24"/>
                <w:highlight w:val="white"/>
              </w:rPr>
              <w:t xml:space="preserve">.</w:t>
            </w:r>
            <w:r>
              <w:rPr>
                <w:rFonts w:ascii="PT Astra Serif" w:hAnsi="PT Astra Serif" w:cs="PT Astra Serif"/>
                <w:color w:val="000000" w:themeColor="text1"/>
                <w:sz w:val="24"/>
                <w:szCs w:val="24"/>
                <w:highlight w:val="white"/>
              </w:rPr>
            </w:r>
            <w:r>
              <w:rPr>
                <w:rFonts w:ascii="PT Astra Serif" w:hAnsi="PT Astra Serif" w:cs="PT Astra Serif"/>
                <w:color w:val="000000" w:themeColor="text1"/>
                <w:sz w:val="24"/>
                <w:szCs w:val="24"/>
                <w:highlight w:val="white"/>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18.</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Дата, время и место продажи посредством публичного </w:t>
            </w:r>
            <w:r>
              <w:rPr>
                <w:rFonts w:ascii="PT Astra Serif" w:hAnsi="PT Astra Serif" w:eastAsia="Times New Roman"/>
                <w:b/>
                <w:sz w:val="24"/>
                <w:szCs w:val="24"/>
              </w:rPr>
              <w:t xml:space="preserve">предложения</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color w:val="000000" w:themeColor="text1"/>
                <w:sz w:val="24"/>
                <w:szCs w:val="24"/>
              </w:rPr>
            </w:pPr>
            <w:r>
              <w:rPr>
                <w:rFonts w:ascii="PT Astra Serif" w:hAnsi="PT Astra Serif" w:eastAsia="Times New Roman"/>
                <w:b/>
                <w:sz w:val="24"/>
                <w:szCs w:val="24"/>
              </w:rPr>
              <w:t xml:space="preserve">Дата продажи посредством публичного предложения:</w:t>
            </w:r>
            <w:r>
              <w:rPr>
                <w:rFonts w:ascii="PT Astra Serif" w:hAnsi="PT Astra Serif" w:eastAsia="Times New Roman"/>
                <w:b/>
                <w:color w:val="000000" w:themeColor="text1"/>
                <w:sz w:val="24"/>
                <w:szCs w:val="24"/>
              </w:rPr>
              <w:t xml:space="preserve"> 20</w:t>
            </w:r>
            <w:r>
              <w:rPr>
                <w:rFonts w:ascii="PT Astra Serif" w:hAnsi="PT Astra Serif" w:eastAsia="Times New Roman"/>
                <w:b/>
                <w:sz w:val="24"/>
                <w:szCs w:val="24"/>
              </w:rPr>
              <w:t xml:space="preserve"> октября</w:t>
            </w:r>
            <w:r>
              <w:rPr>
                <w:rFonts w:ascii="PT Astra Serif" w:hAnsi="PT Astra Serif" w:eastAsia="Times New Roman"/>
                <w:b/>
                <w:sz w:val="24"/>
                <w:szCs w:val="24"/>
              </w:rPr>
              <w:t xml:space="preserve"> 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b/>
                <w:color w:val="000000" w:themeColor="text1"/>
                <w:sz w:val="24"/>
                <w:szCs w:val="24"/>
              </w:rPr>
            </w:r>
            <w:r>
              <w:rPr>
                <w:rFonts w:ascii="PT Astra Serif" w:hAnsi="PT Astra Serif" w:eastAsia="Times New Roman"/>
                <w:b/>
                <w:color w:val="000000" w:themeColor="text1"/>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Время продажи посредством публичного предложения: 10 часов 00 </w:t>
            </w:r>
            <w:r>
              <w:rPr>
                <w:rFonts w:ascii="PT Astra Serif" w:hAnsi="PT Astra Serif" w:eastAsia="Times New Roman"/>
                <w:sz w:val="24"/>
                <w:szCs w:val="24"/>
              </w:rPr>
              <w:t xml:space="preserve">минут по томскому времени</w:t>
            </w:r>
            <w:r>
              <w:rPr>
                <w:rFonts w:ascii="PT Astra Serif" w:hAnsi="PT Astra Serif" w:eastAsia="Times New Roman"/>
                <w:b/>
                <w:sz w:val="24"/>
                <w:szCs w:val="24"/>
              </w:rPr>
              <w:t xml:space="preserve"> </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b/>
                <w:sz w:val="24"/>
                <w:szCs w:val="24"/>
              </w:rPr>
            </w:pPr>
            <w:r>
              <w:rPr>
                <w:rFonts w:ascii="PT Astra Serif" w:hAnsi="PT Astra Serif" w:eastAsia="Times New Roman"/>
                <w:b/>
                <w:sz w:val="24"/>
                <w:szCs w:val="24"/>
              </w:rPr>
              <w:t xml:space="preserve">Место продажи посредством публичного предложения: электронная торговая площадк</w:t>
            </w:r>
            <w:r>
              <w:rPr>
                <w:rFonts w:ascii="PT Astra Serif" w:hAnsi="PT Astra Serif" w:eastAsia="Times New Roman"/>
                <w:b/>
                <w:sz w:val="24"/>
                <w:szCs w:val="24"/>
              </w:rPr>
              <w:t xml:space="preserve">а ООО</w:t>
            </w:r>
            <w:r>
              <w:rPr>
                <w:rFonts w:ascii="PT Astra Serif" w:hAnsi="PT Astra Serif" w:eastAsia="Times New Roman"/>
                <w:b/>
                <w:sz w:val="24"/>
                <w:szCs w:val="24"/>
              </w:rPr>
              <w:t xml:space="preserve"> «РТС – тендер» </w:t>
            </w:r>
            <w:hyperlink r:id="rId14" w:tooltip="http://www.rts-tender.ru" w:history="1">
              <w:r>
                <w:rPr>
                  <w:rStyle w:val="873"/>
                  <w:rFonts w:ascii="PT Astra Serif" w:hAnsi="PT Astra Serif" w:eastAsia="Times New Roman"/>
                  <w:b/>
                  <w:sz w:val="24"/>
                  <w:szCs w:val="24"/>
                </w:rPr>
                <w:t xml:space="preserve">www.rts-tender.ru</w:t>
              </w:r>
            </w:hyperlink>
            <w:r>
              <w:rPr>
                <w:rFonts w:ascii="PT Astra Serif" w:hAnsi="PT Astra Serif" w:eastAsia="Times New Roman"/>
                <w:b/>
                <w:sz w:val="24"/>
                <w:szCs w:val="24"/>
              </w:rPr>
              <w:t xml:space="preserve">.</w:t>
            </w:r>
            <w:r>
              <w:rPr>
                <w:rFonts w:ascii="PT Astra Serif" w:hAnsi="PT Astra Serif" w:eastAsia="Times New Roman"/>
                <w:b/>
                <w:sz w:val="24"/>
                <w:szCs w:val="24"/>
              </w:rPr>
            </w:r>
            <w:r>
              <w:rPr>
                <w:rFonts w:ascii="PT Astra Serif" w:hAnsi="PT Astra Serif" w:eastAsia="Times New Roman"/>
                <w:b/>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19.</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sz w:val="24"/>
                <w:szCs w:val="24"/>
              </w:rPr>
            </w:pPr>
            <w:r>
              <w:rPr>
                <w:rFonts w:ascii="PT Astra Serif" w:hAnsi="PT Astra Serif" w:eastAsia="Times New Roman"/>
                <w:b/>
                <w:sz w:val="24"/>
                <w:szCs w:val="24"/>
              </w:rPr>
              <w:t xml:space="preserve">Место и срок подведения итогов продажи государственного имущества</w:t>
            </w:r>
            <w:r>
              <w:rPr>
                <w:rFonts w:ascii="PT Astra Serif" w:hAnsi="PT Astra Serif" w:eastAsia="Times New Roman"/>
                <w:b/>
                <w:sz w:val="24"/>
                <w:szCs w:val="24"/>
              </w:rPr>
            </w:r>
            <w:r>
              <w:rPr>
                <w:rFonts w:ascii="PT Astra Serif" w:hAnsi="PT Astra Serif" w:eastAsia="Times New Roman"/>
                <w:b/>
                <w:sz w:val="24"/>
                <w:szCs w:val="24"/>
              </w:rPr>
            </w:r>
          </w:p>
        </w:tc>
        <w:tc>
          <w:tcPr>
            <w:tcW w:w="7655" w:type="dxa"/>
            <w:textDirection w:val="lrTb"/>
            <w:noWrap w:val="false"/>
          </w:tcPr>
          <w:p>
            <w:pPr>
              <w:jc w:val="both"/>
              <w:rPr>
                <w:rFonts w:ascii="PT Astra Serif" w:hAnsi="PT Astra Serif" w:eastAsia="Times New Roman"/>
                <w:b/>
                <w:sz w:val="24"/>
                <w:szCs w:val="24"/>
              </w:rPr>
            </w:pPr>
            <w:r>
              <w:rPr>
                <w:rFonts w:ascii="PT Astra Serif" w:hAnsi="PT Astra Serif" w:eastAsia="Times New Roman"/>
                <w:b/>
                <w:sz w:val="24"/>
                <w:szCs w:val="24"/>
              </w:rPr>
              <w:t xml:space="preserve">Место подведения итогов: электронная торговая площадк</w:t>
            </w:r>
            <w:r>
              <w:rPr>
                <w:rFonts w:ascii="PT Astra Serif" w:hAnsi="PT Astra Serif" w:eastAsia="Times New Roman"/>
                <w:b/>
                <w:sz w:val="24"/>
                <w:szCs w:val="24"/>
              </w:rPr>
              <w:t xml:space="preserve">а ООО</w:t>
            </w:r>
            <w:r>
              <w:rPr>
                <w:rFonts w:ascii="PT Astra Serif" w:hAnsi="PT Astra Serif" w:eastAsia="Times New Roman"/>
                <w:b/>
                <w:sz w:val="24"/>
                <w:szCs w:val="24"/>
              </w:rPr>
              <w:t xml:space="preserve"> «РТС – тендер»  </w:t>
            </w:r>
            <w:hyperlink r:id="rId15" w:tooltip="http://www.rts-tender.ru" w:history="1">
              <w:r>
                <w:rPr>
                  <w:rStyle w:val="873"/>
                  <w:rFonts w:ascii="PT Astra Serif" w:hAnsi="PT Astra Serif" w:eastAsia="Times New Roman"/>
                  <w:b/>
                  <w:sz w:val="24"/>
                  <w:szCs w:val="24"/>
                </w:rPr>
                <w:t xml:space="preserve">www.rts-tender.ru</w:t>
              </w:r>
            </w:hyperlink>
            <w:r>
              <w:rPr>
                <w:rFonts w:ascii="PT Astra Serif" w:hAnsi="PT Astra Serif" w:eastAsia="Times New Roman"/>
                <w:b/>
                <w:sz w:val="24"/>
                <w:szCs w:val="24"/>
              </w:rPr>
              <w:t xml:space="preserve">.</w:t>
            </w:r>
            <w:r>
              <w:rPr>
                <w:rFonts w:ascii="PT Astra Serif" w:hAnsi="PT Astra Serif" w:eastAsia="Times New Roman"/>
                <w:b/>
                <w:sz w:val="24"/>
                <w:szCs w:val="24"/>
              </w:rPr>
            </w:r>
            <w:r>
              <w:rPr>
                <w:rFonts w:ascii="PT Astra Serif" w:hAnsi="PT Astra Serif" w:eastAsia="Times New Roman"/>
                <w:b/>
                <w:sz w:val="24"/>
                <w:szCs w:val="24"/>
              </w:rPr>
            </w:r>
          </w:p>
          <w:p>
            <w:pPr>
              <w:jc w:val="both"/>
              <w:rPr>
                <w:rFonts w:ascii="PT Astra Serif" w:hAnsi="PT Astra Serif" w:eastAsia="Times New Roman"/>
                <w:sz w:val="24"/>
                <w:szCs w:val="24"/>
              </w:rPr>
            </w:pPr>
            <w:r>
              <w:rPr>
                <w:rFonts w:ascii="PT Astra Serif" w:hAnsi="PT Astra Serif" w:eastAsia="Times New Roman"/>
                <w:b/>
                <w:sz w:val="24"/>
                <w:szCs w:val="24"/>
              </w:rPr>
              <w:t xml:space="preserve">Срок подведения итогов:</w:t>
            </w:r>
            <w:r>
              <w:rPr>
                <w:rFonts w:ascii="PT Astra Serif" w:hAnsi="PT Astra Serif" w:eastAsia="Times New Roman"/>
                <w:b/>
                <w:bCs/>
                <w:color w:val="000000" w:themeColor="text1"/>
                <w:sz w:val="24"/>
                <w:szCs w:val="24"/>
              </w:rPr>
              <w:t xml:space="preserve"> 20</w:t>
            </w:r>
            <w:r>
              <w:rPr>
                <w:rFonts w:ascii="PT Astra Serif" w:hAnsi="PT Astra Serif" w:eastAsia="Times New Roman"/>
                <w:b/>
                <w:bCs/>
                <w:color w:val="000000" w:themeColor="text1"/>
                <w:sz w:val="24"/>
                <w:szCs w:val="24"/>
              </w:rPr>
              <w:t xml:space="preserve"> окт</w:t>
            </w:r>
            <w:r>
              <w:rPr>
                <w:rFonts w:ascii="PT Astra Serif" w:hAnsi="PT Astra Serif" w:eastAsia="Times New Roman"/>
                <w:b/>
                <w:sz w:val="24"/>
                <w:szCs w:val="24"/>
              </w:rPr>
              <w:t xml:space="preserve">ября </w:t>
            </w:r>
            <w:r>
              <w:rPr>
                <w:rFonts w:ascii="PT Astra Serif" w:hAnsi="PT Astra Serif" w:eastAsia="Times New Roman"/>
                <w:b/>
                <w:sz w:val="24"/>
                <w:szCs w:val="24"/>
              </w:rPr>
              <w:t xml:space="preserve">202</w:t>
            </w:r>
            <w:r>
              <w:rPr>
                <w:rFonts w:ascii="PT Astra Serif" w:hAnsi="PT Astra Serif" w:eastAsia="Times New Roman"/>
                <w:b/>
                <w:sz w:val="24"/>
                <w:szCs w:val="24"/>
              </w:rPr>
              <w:t xml:space="preserve">6</w:t>
            </w:r>
            <w:r>
              <w:rPr>
                <w:rFonts w:ascii="PT Astra Serif" w:hAnsi="PT Astra Serif" w:eastAsia="Times New Roman"/>
                <w:b/>
                <w:sz w:val="24"/>
                <w:szCs w:val="24"/>
              </w:rPr>
              <w:t xml:space="preserve"> года</w:t>
            </w:r>
            <w:r>
              <w:rPr>
                <w:rFonts w:ascii="PT Astra Serif" w:hAnsi="PT Astra Serif" w:eastAsia="Times New Roman"/>
                <w:color w:val="000000" w:themeColor="text1"/>
                <w:sz w:val="24"/>
                <w:szCs w:val="24"/>
              </w:rPr>
              <w:t xml:space="preserve"> </w:t>
            </w:r>
            <w:r>
              <w:rPr>
                <w:rFonts w:ascii="PT Astra Serif" w:hAnsi="PT Astra Serif" w:eastAsia="Times New Roman"/>
                <w:sz w:val="24"/>
                <w:szCs w:val="24"/>
              </w:rPr>
              <w:t xml:space="preserve">с </w:t>
            </w:r>
            <w:r>
              <w:rPr>
                <w:rFonts w:ascii="PT Astra Serif" w:hAnsi="PT Astra Serif" w:eastAsia="Times New Roman"/>
                <w:b/>
                <w:sz w:val="24"/>
                <w:szCs w:val="24"/>
              </w:rPr>
              <w:t xml:space="preserve">10 часов 00 </w:t>
            </w:r>
            <w:r>
              <w:rPr>
                <w:rFonts w:ascii="PT Astra Serif" w:hAnsi="PT Astra Serif" w:eastAsia="Times New Roman"/>
                <w:sz w:val="24"/>
                <w:szCs w:val="24"/>
              </w:rPr>
              <w:t xml:space="preserve">минут по томскому времени и до последнего предложения участников</w:t>
            </w:r>
            <w:r>
              <w:rPr>
                <w:rFonts w:ascii="PT Astra Serif" w:hAnsi="PT Astra Serif" w:eastAsia="Times New Roman"/>
                <w:sz w:val="24"/>
                <w:szCs w:val="24"/>
              </w:rPr>
            </w:r>
            <w:r>
              <w:rPr>
                <w:rFonts w:ascii="PT Astra Serif" w:hAnsi="PT Astra Serif" w:eastAsia="Times New Roman"/>
                <w:sz w:val="24"/>
                <w:szCs w:val="24"/>
              </w:rPr>
            </w:r>
          </w:p>
        </w:tc>
      </w:tr>
      <w:tr>
        <w:tblPrEx/>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20.</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bCs/>
                <w:sz w:val="24"/>
                <w:szCs w:val="24"/>
              </w:rPr>
            </w:pPr>
            <w:r>
              <w:rPr>
                <w:rFonts w:ascii="PT Astra Serif" w:hAnsi="PT Astra Serif" w:eastAsia="Times New Roman"/>
                <w:b/>
                <w:sz w:val="24"/>
                <w:szCs w:val="24"/>
              </w:rPr>
              <w:t xml:space="preserve">Сведения обо всех предыдущих торгах по продаже государственного имущества, объявленных в течение года, предшествующего его продаже, и об итогах торгов по продаже имущества</w:t>
            </w:r>
            <w:r>
              <w:rPr>
                <w:rFonts w:ascii="PT Astra Serif" w:hAnsi="PT Astra Serif" w:eastAsia="Times New Roman"/>
                <w:b/>
                <w:bCs/>
                <w:sz w:val="24"/>
                <w:szCs w:val="24"/>
              </w:rPr>
            </w:r>
            <w:r>
              <w:rPr>
                <w:rFonts w:ascii="PT Astra Serif" w:hAnsi="PT Astra Serif" w:eastAsia="Times New Roman"/>
                <w:b/>
                <w:bCs/>
                <w:sz w:val="24"/>
                <w:szCs w:val="24"/>
              </w:rPr>
            </w:r>
          </w:p>
        </w:tc>
        <w:tc>
          <w:tcPr>
            <w:tcW w:w="7655" w:type="dxa"/>
            <w:textDirection w:val="lrTb"/>
            <w:noWrap w:val="false"/>
          </w:tcPr>
          <w:p>
            <w:pPr>
              <w:jc w:val="both"/>
              <w:spacing w:before="100" w:beforeAutospacing="1"/>
              <w:rPr>
                <w:rFonts w:ascii="PT Astra Serif" w:hAnsi="PT Astra Serif" w:eastAsia="Times New Roman"/>
              </w:rPr>
            </w:pPr>
            <w:r>
              <w:rPr>
                <w:rFonts w:ascii="PT Astra Serif" w:hAnsi="PT Astra Serif" w:eastAsia="Times New Roman"/>
                <w:sz w:val="24"/>
                <w:szCs w:val="24"/>
              </w:rPr>
              <w:t xml:space="preserve">Торги по продаже государственного имущества, назначенные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10.06.2025, 30.09.2025, 07.11.2025, 09.12.2025, 04.02.2026 </w:t>
            </w:r>
            <w:r>
              <w:rPr>
                <w:rFonts w:ascii="PT Astra Serif" w:hAnsi="PT Astra Serif" w:eastAsia="Times New Roman"/>
                <w:sz w:val="24"/>
                <w:szCs w:val="24"/>
              </w:rPr>
              <w:t xml:space="preserve">не состоялись по причине отсутствия заявок</w:t>
            </w:r>
            <w:r>
              <w:rPr>
                <w:rFonts w:ascii="PT Astra Serif" w:hAnsi="PT Astra Serif" w:eastAsia="Times New Roman"/>
              </w:rPr>
              <w:t xml:space="preserve"> </w:t>
            </w:r>
            <w:r>
              <w:rPr>
                <w:rFonts w:ascii="PT Astra Serif" w:hAnsi="PT Astra Serif" w:eastAsia="Times New Roman"/>
              </w:rPr>
            </w:r>
            <w:r>
              <w:rPr>
                <w:rFonts w:ascii="PT Astra Serif" w:hAnsi="PT Astra Serif" w:eastAsia="Times New Roman"/>
              </w:rPr>
            </w:r>
          </w:p>
          <w:p>
            <w:pPr>
              <w:jc w:val="both"/>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tc>
      </w:tr>
      <w:tr>
        <w:tblPrEx/>
        <w:trPr>
          <w:trHeight w:val="276"/>
        </w:trPr>
        <w:tc>
          <w:tcPr>
            <w:tcW w:w="556" w:type="dxa"/>
            <w:textDirection w:val="lrTb"/>
            <w:noWrap w:val="false"/>
          </w:tcPr>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21.</w:t>
            </w:r>
            <w:r>
              <w:rPr>
                <w:rFonts w:ascii="PT Astra Serif" w:hAnsi="PT Astra Serif" w:eastAsia="Times New Roman"/>
                <w:b/>
                <w:bCs/>
                <w:sz w:val="24"/>
                <w:szCs w:val="24"/>
              </w:rPr>
            </w:r>
            <w:r>
              <w:rPr>
                <w:rFonts w:ascii="PT Astra Serif" w:hAnsi="PT Astra Serif" w:eastAsia="Times New Roman"/>
                <w:b/>
                <w:bCs/>
                <w:sz w:val="24"/>
                <w:szCs w:val="24"/>
              </w:rPr>
            </w:r>
          </w:p>
        </w:tc>
        <w:tc>
          <w:tcPr>
            <w:tcW w:w="2529" w:type="dxa"/>
            <w:textDirection w:val="lrTb"/>
            <w:noWrap w:val="false"/>
          </w:tcPr>
          <w:p>
            <w:pPr>
              <w:rPr>
                <w:rFonts w:ascii="PT Astra Serif" w:hAnsi="PT Astra Serif" w:eastAsia="Times New Roman"/>
                <w:b/>
                <w:bCs/>
                <w:sz w:val="24"/>
                <w:szCs w:val="24"/>
              </w:rPr>
            </w:pPr>
            <w:r>
              <w:rPr>
                <w:rFonts w:ascii="PT Astra Serif" w:hAnsi="PT Astra Serif" w:eastAsia="Times New Roman"/>
                <w:b/>
                <w:sz w:val="24"/>
                <w:szCs w:val="24"/>
              </w:rPr>
              <w:t xml:space="preserve">Сведения об установлении публичного сервитута и (или) иных ограничений</w:t>
            </w:r>
            <w:r>
              <w:rPr>
                <w:rFonts w:ascii="PT Astra Serif" w:hAnsi="PT Astra Serif" w:eastAsia="Times New Roman"/>
                <w:b/>
                <w:bCs/>
                <w:sz w:val="24"/>
                <w:szCs w:val="24"/>
              </w:rPr>
            </w:r>
            <w:r>
              <w:rPr>
                <w:rFonts w:ascii="PT Astra Serif" w:hAnsi="PT Astra Serif" w:eastAsia="Times New Roman"/>
                <w:b/>
                <w:bCs/>
                <w:sz w:val="24"/>
                <w:szCs w:val="24"/>
              </w:rPr>
            </w:r>
          </w:p>
        </w:tc>
        <w:tc>
          <w:tcPr>
            <w:tcW w:w="7655" w:type="dxa"/>
            <w:textDirection w:val="lrTb"/>
            <w:noWrap w:val="false"/>
          </w:tcPr>
          <w:p>
            <w:pPr>
              <w:pStyle w:val="880"/>
              <w:ind w:left="34"/>
              <w:jc w:val="both"/>
              <w:rPr>
                <w:rFonts w:ascii="PT Astra Serif" w:hAnsi="PT Astra Serif" w:eastAsia="Times New Roman"/>
                <w:sz w:val="24"/>
                <w:szCs w:val="24"/>
              </w:rPr>
            </w:pPr>
            <w:r>
              <w:rPr>
                <w:rFonts w:ascii="PT Astra Serif" w:hAnsi="PT Astra Serif" w:eastAsia="Times New Roman"/>
                <w:sz w:val="24"/>
                <w:szCs w:val="24"/>
              </w:rPr>
              <w:t xml:space="preserve">отсутствуют</w:t>
            </w:r>
            <w:r>
              <w:rPr>
                <w:rFonts w:ascii="PT Astra Serif" w:hAnsi="PT Astra Serif" w:eastAsia="Times New Roman"/>
                <w:sz w:val="24"/>
                <w:szCs w:val="24"/>
              </w:rPr>
            </w:r>
            <w:r>
              <w:rPr>
                <w:rFonts w:ascii="PT Astra Serif" w:hAnsi="PT Astra Serif" w:eastAsia="Times New Roman"/>
                <w:sz w:val="24"/>
                <w:szCs w:val="24"/>
              </w:rPr>
            </w:r>
          </w:p>
        </w:tc>
      </w:tr>
    </w:tbl>
    <w:p>
      <w:pPr>
        <w:jc w:val="center"/>
        <w:rPr>
          <w:rFonts w:ascii="PT Astra Serif" w:hAnsi="PT Astra Serif" w:eastAsia="Times New Roman"/>
          <w:b/>
          <w:bCs/>
          <w:sz w:val="16"/>
          <w:szCs w:val="16"/>
        </w:rPr>
      </w:pPr>
      <w:r>
        <w:rPr>
          <w:rFonts w:ascii="PT Astra Serif" w:hAnsi="PT Astra Serif" w:eastAsia="Times New Roman"/>
          <w:b/>
          <w:bCs/>
          <w:sz w:val="16"/>
          <w:szCs w:val="16"/>
        </w:rPr>
      </w:r>
      <w:r>
        <w:rPr>
          <w:rFonts w:ascii="PT Astra Serif" w:hAnsi="PT Astra Serif" w:eastAsia="Times New Roman"/>
          <w:b/>
          <w:bCs/>
          <w:sz w:val="16"/>
          <w:szCs w:val="16"/>
        </w:rPr>
      </w:r>
      <w:r>
        <w:rPr>
          <w:rFonts w:ascii="PT Astra Serif" w:hAnsi="PT Astra Serif" w:eastAsia="Times New Roman"/>
          <w:b/>
          <w:bCs/>
          <w:sz w:val="16"/>
          <w:szCs w:val="16"/>
        </w:rPr>
      </w:r>
    </w:p>
    <w:p>
      <w:pPr>
        <w:jc w:val="center"/>
        <w:rPr>
          <w:rFonts w:ascii="PT Astra Serif" w:hAnsi="PT Astra Serif" w:eastAsia="Times New Roman"/>
          <w:b/>
          <w:bCs/>
          <w:sz w:val="24"/>
          <w:szCs w:val="24"/>
        </w:rPr>
      </w:pPr>
      <w:r>
        <w:rPr>
          <w:rFonts w:ascii="PT Astra Serif" w:hAnsi="PT Astra Serif" w:eastAsia="Times New Roman"/>
          <w:b/>
          <w:bCs/>
          <w:sz w:val="24"/>
          <w:szCs w:val="24"/>
        </w:rPr>
        <w:t xml:space="preserve">2. Общие положения</w:t>
      </w:r>
      <w:r>
        <w:rPr>
          <w:rFonts w:ascii="PT Astra Serif" w:hAnsi="PT Astra Serif" w:eastAsia="Times New Roman"/>
          <w:b/>
          <w:bCs/>
          <w:sz w:val="24"/>
          <w:szCs w:val="24"/>
        </w:rPr>
      </w:r>
      <w:r>
        <w:rPr>
          <w:rFonts w:ascii="PT Astra Serif" w:hAnsi="PT Astra Serif" w:eastAsia="Times New Roman"/>
          <w:b/>
          <w:bCs/>
          <w:sz w:val="24"/>
          <w:szCs w:val="24"/>
        </w:rPr>
      </w:r>
    </w:p>
    <w:p>
      <w:pPr>
        <w:ind w:firstLine="709"/>
        <w:jc w:val="both"/>
        <w:spacing w:line="234" w:lineRule="auto"/>
        <w:rPr>
          <w:rFonts w:ascii="PT Astra Serif" w:hAnsi="PT Astra Serif"/>
          <w:sz w:val="20"/>
          <w:szCs w:val="20"/>
        </w:rPr>
      </w:pPr>
      <w:r>
        <w:rPr>
          <w:rFonts w:ascii="PT Astra Serif" w:hAnsi="PT Astra Serif" w:eastAsia="Times New Roman"/>
          <w:b/>
          <w:bCs/>
          <w:sz w:val="24"/>
          <w:szCs w:val="24"/>
        </w:rPr>
        <w:t xml:space="preserve">Продажа находящегося в государственной собственности Томской области имущества проводится в соответствии с:</w:t>
      </w:r>
      <w:r>
        <w:rPr>
          <w:rFonts w:ascii="PT Astra Serif" w:hAnsi="PT Astra Serif"/>
          <w:sz w:val="20"/>
          <w:szCs w:val="20"/>
        </w:rPr>
      </w:r>
      <w:r>
        <w:rPr>
          <w:rFonts w:ascii="PT Astra Serif" w:hAnsi="PT Astra Serif"/>
          <w:sz w:val="20"/>
          <w:szCs w:val="20"/>
        </w:rPr>
      </w:r>
    </w:p>
    <w:p>
      <w:pPr>
        <w:ind w:firstLine="567"/>
        <w:jc w:val="both"/>
        <w:spacing w:line="227" w:lineRule="auto"/>
        <w:tabs>
          <w:tab w:val="left" w:pos="852" w:leader="none"/>
        </w:tabs>
        <w:rPr>
          <w:rFonts w:ascii="PT Astra Serif" w:hAnsi="PT Astra Serif" w:eastAsia="Symbol" w:cs="Symbol"/>
          <w:sz w:val="24"/>
          <w:szCs w:val="24"/>
        </w:rPr>
      </w:pPr>
      <w:r>
        <w:rPr>
          <w:rFonts w:ascii="PT Astra Serif" w:hAnsi="PT Astra Serif" w:eastAsia="Times New Roman"/>
          <w:sz w:val="24"/>
          <w:szCs w:val="24"/>
        </w:rPr>
        <w:t xml:space="preserve">– Федеральным законом от 21 декабря 2001 года № 178-ФЗ «О приватизации государственного и муниципального имущества»;</w:t>
      </w:r>
      <w:r>
        <w:rPr>
          <w:rFonts w:ascii="PT Astra Serif" w:hAnsi="PT Astra Serif" w:eastAsia="Symbol" w:cs="Symbol"/>
          <w:sz w:val="24"/>
          <w:szCs w:val="24"/>
        </w:rPr>
      </w:r>
      <w:r>
        <w:rPr>
          <w:rFonts w:ascii="PT Astra Serif" w:hAnsi="PT Astra Serif" w:eastAsia="Symbol" w:cs="Symbol"/>
          <w:sz w:val="24"/>
          <w:szCs w:val="24"/>
        </w:rPr>
      </w:r>
    </w:p>
    <w:p>
      <w:pPr>
        <w:ind w:firstLine="560"/>
        <w:jc w:val="both"/>
        <w:tabs>
          <w:tab w:val="left" w:pos="840" w:leader="none"/>
          <w:tab w:val="left" w:pos="2740" w:leader="none"/>
          <w:tab w:val="left" w:pos="4500" w:leader="none"/>
          <w:tab w:val="left" w:pos="5940" w:leader="none"/>
          <w:tab w:val="left" w:pos="7320" w:leader="none"/>
          <w:tab w:val="left" w:pos="7800" w:leader="none"/>
          <w:tab w:val="left" w:pos="8280" w:leader="none"/>
          <w:tab w:val="left" w:pos="9280" w:leader="none"/>
          <w:tab w:val="left" w:pos="10000" w:leader="none"/>
        </w:tabs>
        <w:rPr>
          <w:rFonts w:ascii="PT Astra Serif" w:hAnsi="PT Astra Serif" w:eastAsia="Times New Roman"/>
          <w:sz w:val="24"/>
          <w:szCs w:val="24"/>
        </w:rPr>
      </w:pPr>
      <w:r>
        <w:rPr>
          <w:rFonts w:ascii="PT Astra Serif" w:hAnsi="PT Astra Serif" w:eastAsia="Times New Roman"/>
          <w:sz w:val="24"/>
          <w:szCs w:val="24"/>
        </w:rPr>
        <w:t xml:space="preserve">- постановлением Правительства Российской Федерации от 27.08.2012</w:t>
      </w:r>
      <w:r>
        <w:rPr>
          <w:rFonts w:ascii="PT Astra Serif" w:hAnsi="PT Astra Serif" w:eastAsia="Times New Roman"/>
          <w:sz w:val="23"/>
          <w:szCs w:val="23"/>
        </w:rPr>
        <w:t xml:space="preserve"> № </w:t>
      </w:r>
      <w:r>
        <w:rPr>
          <w:rFonts w:ascii="PT Astra Serif" w:hAnsi="PT Astra Serif" w:eastAsia="Times New Roman"/>
          <w:sz w:val="24"/>
          <w:szCs w:val="24"/>
        </w:rPr>
        <w:t xml:space="preserve">860 «Об организации и проведении продажи государственного и муниципального имущества в электронной форме»;</w:t>
      </w:r>
      <w:r>
        <w:rPr>
          <w:rFonts w:ascii="PT Astra Serif" w:hAnsi="PT Astra Serif" w:eastAsia="Times New Roman"/>
          <w:sz w:val="24"/>
          <w:szCs w:val="24"/>
        </w:rPr>
      </w:r>
      <w:r>
        <w:rPr>
          <w:rFonts w:ascii="PT Astra Serif" w:hAnsi="PT Astra Serif" w:eastAsia="Times New Roman"/>
          <w:sz w:val="24"/>
          <w:szCs w:val="24"/>
        </w:rPr>
      </w:r>
    </w:p>
    <w:p>
      <w:pPr>
        <w:ind w:firstLine="567"/>
        <w:jc w:val="both"/>
        <w:spacing w:line="230" w:lineRule="auto"/>
        <w:tabs>
          <w:tab w:val="left" w:pos="852" w:leader="none"/>
        </w:tabs>
        <w:rPr>
          <w:rFonts w:ascii="PT Astra Serif" w:hAnsi="PT Astra Serif" w:eastAsia="Symbol" w:cs="Symbol"/>
          <w:sz w:val="24"/>
          <w:szCs w:val="24"/>
        </w:rPr>
      </w:pPr>
      <w:r>
        <w:rPr>
          <w:rFonts w:ascii="PT Astra Serif" w:hAnsi="PT Astra Serif" w:eastAsia="Times New Roman"/>
          <w:sz w:val="24"/>
          <w:szCs w:val="24"/>
        </w:rPr>
        <w:t xml:space="preserve">– Законом Томской области от 12 июля 2018 года № 80-ОЗ «О приватизации государственного имущества Томской области»;</w:t>
      </w:r>
      <w:r>
        <w:rPr>
          <w:rFonts w:ascii="PT Astra Serif" w:hAnsi="PT Astra Serif" w:eastAsia="Symbol" w:cs="Symbol"/>
          <w:sz w:val="24"/>
          <w:szCs w:val="24"/>
        </w:rPr>
      </w:r>
      <w:r>
        <w:rPr>
          <w:rFonts w:ascii="PT Astra Serif" w:hAnsi="PT Astra Serif" w:eastAsia="Symbol" w:cs="Symbol"/>
          <w:sz w:val="24"/>
          <w:szCs w:val="24"/>
        </w:rPr>
      </w:r>
    </w:p>
    <w:p>
      <w:pPr>
        <w:ind w:firstLine="567"/>
        <w:jc w:val="both"/>
        <w:spacing w:line="234" w:lineRule="auto"/>
        <w:tabs>
          <w:tab w:val="left" w:pos="852" w:leader="none"/>
        </w:tabs>
        <w:rPr>
          <w:rFonts w:ascii="PT Astra Serif" w:hAnsi="PT Astra Serif" w:eastAsia="Symbol" w:cs="Symbol"/>
          <w:sz w:val="24"/>
          <w:szCs w:val="24"/>
        </w:rPr>
      </w:pP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постановлением Законодательной Думы Томской области от 30.10.2025 № 1979 «О прогнозном плане (программе) приватизации государственного имущества Томской области на плановый период 2026-2028 годов».</w:t>
      </w:r>
      <w:r>
        <w:rPr>
          <w:rFonts w:ascii="PT Astra Serif" w:hAnsi="PT Astra Serif" w:eastAsia="Symbol" w:cs="Symbol"/>
          <w:sz w:val="24"/>
          <w:szCs w:val="24"/>
        </w:rPr>
      </w:r>
      <w:r>
        <w:rPr>
          <w:rFonts w:ascii="PT Astra Serif" w:hAnsi="PT Astra Serif" w:eastAsia="Symbol" w:cs="Symbol"/>
          <w:sz w:val="24"/>
          <w:szCs w:val="24"/>
        </w:rPr>
      </w:r>
    </w:p>
    <w:p>
      <w:pPr>
        <w:ind w:left="560"/>
        <w:rPr>
          <w:rFonts w:ascii="PT Astra Serif" w:hAnsi="PT Astra Serif" w:eastAsia="Times New Roman"/>
          <w:b/>
          <w:bCs/>
          <w:sz w:val="24"/>
          <w:szCs w:val="24"/>
        </w:rPr>
      </w:pPr>
      <w:r>
        <w:rPr>
          <w:rFonts w:ascii="PT Astra Serif" w:hAnsi="PT Astra Serif" w:eastAsia="Times New Roman"/>
          <w:b/>
          <w:bCs/>
          <w:sz w:val="24"/>
          <w:szCs w:val="24"/>
        </w:rPr>
        <w:t xml:space="preserve">Порядок регистрации на электронной площадке</w:t>
      </w:r>
      <w:r>
        <w:rPr>
          <w:rFonts w:ascii="PT Astra Serif" w:hAnsi="PT Astra Serif" w:eastAsia="Times New Roman"/>
          <w:b/>
          <w:bCs/>
          <w:sz w:val="24"/>
          <w:szCs w:val="24"/>
        </w:rPr>
      </w:r>
      <w:r>
        <w:rPr>
          <w:rFonts w:ascii="PT Astra Serif" w:hAnsi="PT Astra Serif" w:eastAsia="Times New Roman"/>
          <w:b/>
          <w:bCs/>
          <w:sz w:val="24"/>
          <w:szCs w:val="24"/>
        </w:rPr>
      </w:r>
    </w:p>
    <w:p>
      <w:pPr>
        <w:ind w:firstLine="567"/>
        <w:jc w:val="both"/>
        <w:spacing w:line="236" w:lineRule="auto"/>
        <w:rPr>
          <w:rFonts w:ascii="PT Astra Serif" w:hAnsi="PT Astra Serif"/>
          <w:sz w:val="20"/>
          <w:szCs w:val="20"/>
        </w:rPr>
      </w:pPr>
      <w:r>
        <w:rPr>
          <w:rFonts w:ascii="PT Astra Serif" w:hAnsi="PT Astra Serif"/>
          <w:sz w:val="24"/>
          <w:szCs w:val="24"/>
        </w:rPr>
        <w:t xml:space="preserve">Для обеспечения доступа</w:t>
      </w:r>
      <w:r>
        <w:rPr>
          <w:rFonts w:ascii="PT Astra Serif" w:hAnsi="PT Astra Serif" w:eastAsia="Times New Roman"/>
          <w:sz w:val="24"/>
          <w:szCs w:val="24"/>
        </w:rPr>
        <w:t xml:space="preserve"> к участию в электронной продаже Претендентам необходимо пройти процедуру регистрации на электронной площадке, указанной в настоящем Информационном сообщении. Регистрация на электронной площадке осуществляется без взимания платы.</w:t>
      </w:r>
      <w:r>
        <w:rPr>
          <w:rFonts w:ascii="PT Astra Serif" w:hAnsi="PT Astra Serif"/>
          <w:sz w:val="20"/>
          <w:szCs w:val="20"/>
        </w:rPr>
      </w:r>
      <w:r>
        <w:rPr>
          <w:rFonts w:ascii="PT Astra Serif" w:hAnsi="PT Astra Serif"/>
          <w:sz w:val="20"/>
          <w:szCs w:val="20"/>
        </w:rPr>
      </w:r>
    </w:p>
    <w:p>
      <w:pPr>
        <w:ind w:firstLine="567"/>
        <w:jc w:val="both"/>
        <w:spacing w:line="234" w:lineRule="auto"/>
        <w:rPr>
          <w:rFonts w:ascii="PT Astra Serif" w:hAnsi="PT Astra Serif" w:eastAsia="Times New Roman"/>
          <w:sz w:val="24"/>
          <w:szCs w:val="24"/>
        </w:rPr>
      </w:pPr>
      <w:r>
        <w:rPr>
          <w:rFonts w:ascii="PT Astra Serif" w:hAnsi="PT Astra Serif" w:eastAsia="Times New Roman"/>
          <w:sz w:val="24"/>
          <w:szCs w:val="24"/>
        </w:rPr>
        <w:t xml:space="preserve">Регистрация на электронной площадке проводится в соответствии с Регламентом электронной площадки.</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7" w:lineRule="auto"/>
        <w:rPr>
          <w:rFonts w:ascii="PT Astra Serif" w:hAnsi="PT Astra Serif" w:eastAsia="Times New Roman"/>
          <w:sz w:val="24"/>
          <w:szCs w:val="24"/>
        </w:rPr>
      </w:pPr>
      <w:r>
        <w:rPr>
          <w:rFonts w:ascii="PT Astra Serif" w:hAnsi="PT Astra Serif" w:eastAsia="Times New Roman"/>
          <w:b/>
          <w:bCs/>
          <w:sz w:val="24"/>
          <w:szCs w:val="24"/>
        </w:rPr>
        <w:t xml:space="preserve">Оформление участия в продаже имущества посредством публичного предложения: </w:t>
      </w:r>
      <w:r>
        <w:rPr>
          <w:rFonts w:ascii="PT Astra Serif" w:hAnsi="PT Astra Serif" w:eastAsia="Times New Roman"/>
          <w:sz w:val="24"/>
          <w:szCs w:val="24"/>
        </w:rPr>
        <w:t xml:space="preserve">для оформления участия в электронной продаже посредством публичного предложения физические и юридические лица, намеревающиеся принять участие в электронной</w:t>
      </w:r>
      <w:r>
        <w:rPr>
          <w:rFonts w:ascii="PT Astra Serif" w:hAnsi="PT Astra Serif" w:eastAsia="Times New Roman"/>
          <w:color w:val="ff0000"/>
          <w:sz w:val="24"/>
          <w:szCs w:val="24"/>
        </w:rPr>
        <w:t xml:space="preserve"> </w:t>
      </w:r>
      <w:r>
        <w:rPr>
          <w:rFonts w:ascii="PT Astra Serif" w:hAnsi="PT Astra Serif" w:eastAsia="Times New Roman"/>
          <w:sz w:val="24"/>
          <w:szCs w:val="24"/>
        </w:rPr>
        <w:t xml:space="preserve">продаже посредством публичного предложе</w:t>
      </w:r>
      <w:r>
        <w:rPr>
          <w:rFonts w:ascii="PT Astra Serif" w:hAnsi="PT Astra Serif" w:eastAsia="Times New Roman"/>
          <w:sz w:val="24"/>
          <w:szCs w:val="24"/>
        </w:rPr>
        <w:t xml:space="preserve">ния (далее – Претенденты), представляют Организатору в установленный срок заявку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а</w:t>
      </w:r>
      <w:r>
        <w:rPr>
          <w:rFonts w:ascii="PT Astra Serif" w:hAnsi="PT Astra Serif" w:eastAsia="Times New Roman"/>
          <w:sz w:val="24"/>
          <w:szCs w:val="24"/>
        </w:rPr>
        <w:t xml:space="preserve"> также одновременно с заявкой представляют документы, обязательный перечень которых указан в данном информационном сообщении. </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Одно лицо имеет право подать только одну заявку на участие в электронной продаже посредством публичного предложения.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6" w:lineRule="auto"/>
        <w:rPr>
          <w:rFonts w:ascii="PT Astra Serif" w:hAnsi="PT Astra Serif" w:eastAsia="Times New Roman"/>
          <w:sz w:val="24"/>
          <w:szCs w:val="24"/>
        </w:rPr>
      </w:pPr>
      <w:r>
        <w:rPr>
          <w:rFonts w:ascii="PT Astra Serif" w:hAnsi="PT Astra Serif" w:eastAsia="Times New Roman"/>
          <w:sz w:val="24"/>
          <w:szCs w:val="24"/>
        </w:rPr>
        <w:t xml:space="preserve">При прие</w:t>
      </w:r>
      <w:r>
        <w:rPr>
          <w:rFonts w:ascii="PT Astra Serif" w:hAnsi="PT Astra Serif" w:eastAsia="Times New Roman"/>
          <w:sz w:val="24"/>
          <w:szCs w:val="24"/>
        </w:rPr>
        <w:t xml:space="preserve">ме заявок от Претендентов электронная площадка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w:t>
      </w:r>
      <w:r>
        <w:rPr>
          <w:rFonts w:ascii="PT Astra Serif" w:hAnsi="PT Astra Serif" w:eastAsia="Times New Roman"/>
          <w:sz w:val="24"/>
          <w:szCs w:val="24"/>
        </w:rPr>
        <w:t xml:space="preserve">электронная площадка сообщает претенденту о ее поступлении путем направления </w:t>
      </w:r>
      <w:r>
        <w:rPr>
          <w:rFonts w:ascii="PT Astra Serif" w:hAnsi="PT Astra Serif" w:eastAsia="Times New Roman"/>
          <w:sz w:val="24"/>
          <w:szCs w:val="24"/>
        </w:rPr>
        <w:t xml:space="preserve">уведомления</w:t>
      </w:r>
      <w:r>
        <w:rPr>
          <w:rFonts w:ascii="PT Astra Serif" w:hAnsi="PT Astra Serif" w:eastAsia="Times New Roman"/>
          <w:sz w:val="24"/>
          <w:szCs w:val="24"/>
        </w:rPr>
        <w:t xml:space="preserve"> с приложением электронных копий зарегистрированной заявки и прилагаемых к ней документов.</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6" w:lineRule="auto"/>
        <w:rPr>
          <w:rFonts w:ascii="PT Astra Serif" w:hAnsi="PT Astra Serif" w:eastAsia="Times New Roman"/>
          <w:sz w:val="24"/>
          <w:szCs w:val="24"/>
        </w:rPr>
      </w:pPr>
      <w:r>
        <w:rPr>
          <w:rFonts w:ascii="PT Astra Serif" w:hAnsi="PT Astra Serif" w:eastAsia="Times New Roman"/>
          <w:sz w:val="24"/>
          <w:szCs w:val="24"/>
        </w:rPr>
        <w:t xml:space="preserve">Заявки с прилагаемыми к ним документами, а также предложения о цене имущества (при проведении продажи имущества на конкурсе и без объявления цены), поданные с нарушением установленного срока, на электронной площадке не регистрируются.</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6" w:lineRule="auto"/>
        <w:rPr>
          <w:rFonts w:ascii="PT Astra Serif" w:hAnsi="PT Astra Serif" w:eastAsia="Times New Roman"/>
          <w:sz w:val="24"/>
          <w:szCs w:val="24"/>
        </w:rPr>
      </w:pPr>
      <w:r>
        <w:rPr>
          <w:rFonts w:ascii="PT Astra Serif" w:hAnsi="PT Astra Serif" w:eastAsia="Times New Roman"/>
          <w:sz w:val="24"/>
          <w:szCs w:val="24"/>
        </w:rPr>
        <w:t xml:space="preserve">Претендент вправе не позднее дня окончания приема заявок отозвать заявку путем направления уведомления об отзыве заявки на электронную площадку, за исключением случая проведения продажи имущества без объявления цены.</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tabs>
          <w:tab w:val="left" w:pos="761" w:leader="none"/>
        </w:tabs>
        <w:rPr>
          <w:rFonts w:ascii="PT Astra Serif" w:hAnsi="PT Astra Serif" w:eastAsia="Times New Roman"/>
          <w:sz w:val="24"/>
          <w:szCs w:val="24"/>
        </w:rPr>
      </w:pPr>
      <w:r>
        <w:rPr>
          <w:rFonts w:ascii="PT Astra Serif" w:hAnsi="PT Astra Serif" w:eastAsia="Times New Roman"/>
          <w:sz w:val="24"/>
          <w:szCs w:val="24"/>
        </w:rPr>
        <w:t xml:space="preserve">В случае отзыва Претендентом заявки уведомление об отзыве заявки вместе с заявкой в течение одного часа поступает в «личный кабинет» Организатора продажи посредством публичного предложения, о чем Претенденту направляется соответствующее уведомление.</w:t>
      </w:r>
      <w:r>
        <w:rPr>
          <w:rFonts w:ascii="PT Astra Serif" w:hAnsi="PT Astra Serif" w:eastAsia="Times New Roman"/>
          <w:sz w:val="24"/>
          <w:szCs w:val="24"/>
        </w:rPr>
      </w:r>
      <w:r>
        <w:rPr>
          <w:rFonts w:ascii="PT Astra Serif" w:hAnsi="PT Astra Serif" w:eastAsia="Times New Roman"/>
          <w:sz w:val="24"/>
          <w:szCs w:val="24"/>
        </w:rPr>
      </w:r>
    </w:p>
    <w:p>
      <w:pPr>
        <w:ind w:firstLine="709"/>
        <w:jc w:val="both"/>
        <w:spacing w:line="238" w:lineRule="auto"/>
        <w:rPr>
          <w:rFonts w:ascii="PT Astra Serif" w:hAnsi="PT Astra Serif"/>
          <w:sz w:val="20"/>
          <w:szCs w:val="20"/>
        </w:rPr>
      </w:pPr>
      <w:r>
        <w:rPr>
          <w:rFonts w:ascii="PT Astra Serif" w:hAnsi="PT Astra Serif" w:eastAsia="Times New Roman"/>
          <w:sz w:val="24"/>
          <w:szCs w:val="24"/>
        </w:rPr>
        <w:t xml:space="preserve">Для участия в продаже посредством публичного предложения Претендент вносит задаток на указанный в настоящем Информационном сообщении счет для оплаты задатка. Задаток должен быть внесен Претенденто</w:t>
      </w:r>
      <w:r>
        <w:rPr>
          <w:rFonts w:ascii="PT Astra Serif" w:hAnsi="PT Astra Serif" w:eastAsia="Times New Roman"/>
          <w:sz w:val="24"/>
          <w:szCs w:val="24"/>
        </w:rPr>
        <w:t xml:space="preserve">м в размере, порядке и сроки, указанные в настоящем Информационном сообщении. Задаток вносится в счет обеспечения оплаты приобретаемого имущества и засчитывается победителю продажи посредством публичного предложения в счет оплаты приобретаемого имущества. </w:t>
      </w:r>
      <w:r>
        <w:rPr>
          <w:rFonts w:ascii="PT Astra Serif" w:hAnsi="PT Astra Serif"/>
          <w:sz w:val="20"/>
          <w:szCs w:val="20"/>
        </w:rPr>
      </w:r>
      <w:r>
        <w:rPr>
          <w:rFonts w:ascii="PT Astra Serif" w:hAnsi="PT Astra Serif"/>
          <w:sz w:val="20"/>
          <w:szCs w:val="20"/>
        </w:rPr>
      </w:r>
    </w:p>
    <w:p>
      <w:pPr>
        <w:ind w:right="20" w:firstLine="709"/>
        <w:jc w:val="both"/>
        <w:spacing w:line="234" w:lineRule="auto"/>
        <w:rPr>
          <w:rFonts w:ascii="PT Astra Serif" w:hAnsi="PT Astra Serif"/>
          <w:sz w:val="20"/>
          <w:szCs w:val="20"/>
        </w:rPr>
      </w:pPr>
      <w:r>
        <w:rPr>
          <w:rFonts w:ascii="PT Astra Serif" w:hAnsi="PT Astra Serif" w:eastAsia="Times New Roman"/>
          <w:sz w:val="24"/>
          <w:szCs w:val="24"/>
        </w:rPr>
        <w:t xml:space="preserve">До признания Претендента участником продажи посредством публичного предложения государственного имущества он имеет право отозвать зарегистрированную заявку путем письменного уведомления Организатора продажи.</w:t>
      </w:r>
      <w:r>
        <w:rPr>
          <w:rFonts w:ascii="PT Astra Serif" w:hAnsi="PT Astra Serif"/>
          <w:sz w:val="20"/>
          <w:szCs w:val="20"/>
        </w:rPr>
      </w:r>
      <w:r>
        <w:rPr>
          <w:rFonts w:ascii="PT Astra Serif" w:hAnsi="PT Astra Serif"/>
          <w:sz w:val="20"/>
          <w:szCs w:val="20"/>
        </w:rPr>
      </w:r>
    </w:p>
    <w:p>
      <w:pPr>
        <w:ind w:firstLine="709"/>
        <w:jc w:val="both"/>
        <w:spacing w:line="237" w:lineRule="auto"/>
        <w:rPr>
          <w:rFonts w:ascii="PT Astra Serif" w:hAnsi="PT Astra Serif"/>
          <w:sz w:val="20"/>
          <w:szCs w:val="20"/>
        </w:rPr>
      </w:pPr>
      <w:r>
        <w:rPr>
          <w:rFonts w:ascii="PT Astra Serif" w:hAnsi="PT Astra Serif" w:eastAsia="Times New Roman"/>
          <w:sz w:val="24"/>
          <w:szCs w:val="24"/>
        </w:rPr>
        <w:t xml:space="preserve">Задаток для участия в про</w:t>
      </w:r>
      <w:r>
        <w:rPr>
          <w:rFonts w:ascii="PT Astra Serif" w:hAnsi="PT Astra Serif" w:eastAsia="Times New Roman"/>
          <w:sz w:val="24"/>
          <w:szCs w:val="24"/>
        </w:rPr>
        <w:t xml:space="preserve">даже служит обеспечением исполнения обязательства победителя продажи по заключению договора купли-продажи и оплате приобретенного на торгах имущества, вносится единым платежом на расчетный счет Претендента, открытый при регистрации на электронной площадке.</w:t>
      </w:r>
      <w:r>
        <w:rPr>
          <w:rFonts w:ascii="PT Astra Serif" w:hAnsi="PT Astra Serif"/>
          <w:sz w:val="20"/>
          <w:szCs w:val="20"/>
        </w:rPr>
      </w:r>
      <w:r>
        <w:rPr>
          <w:rFonts w:ascii="PT Astra Serif" w:hAnsi="PT Astra Serif"/>
          <w:sz w:val="20"/>
          <w:szCs w:val="20"/>
        </w:rPr>
      </w:r>
    </w:p>
    <w:p>
      <w:pPr>
        <w:ind w:right="20" w:firstLine="708"/>
        <w:jc w:val="both"/>
        <w:spacing w:line="234" w:lineRule="auto"/>
        <w:rPr>
          <w:rFonts w:ascii="PT Astra Serif" w:hAnsi="PT Astra Serif"/>
          <w:sz w:val="20"/>
          <w:szCs w:val="20"/>
        </w:rPr>
      </w:pPr>
      <w:r>
        <w:rPr>
          <w:rFonts w:ascii="PT Astra Serif" w:hAnsi="PT Astra Serif" w:eastAsia="Times New Roman"/>
          <w:sz w:val="24"/>
          <w:szCs w:val="24"/>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w:t>
      </w:r>
      <w:r>
        <w:rPr>
          <w:rFonts w:ascii="PT Astra Serif" w:hAnsi="PT Astra Serif"/>
          <w:sz w:val="20"/>
          <w:szCs w:val="20"/>
        </w:rPr>
      </w:r>
      <w:r>
        <w:rPr>
          <w:rFonts w:ascii="PT Astra Serif" w:hAnsi="PT Astra Serif"/>
          <w:sz w:val="20"/>
          <w:szCs w:val="20"/>
        </w:rPr>
      </w:r>
    </w:p>
    <w:p>
      <w:pPr>
        <w:ind w:right="20" w:firstLine="708"/>
        <w:jc w:val="both"/>
        <w:spacing w:line="236" w:lineRule="auto"/>
        <w:rPr>
          <w:rFonts w:ascii="PT Astra Serif" w:hAnsi="PT Astra Serif"/>
          <w:sz w:val="20"/>
          <w:szCs w:val="20"/>
        </w:rPr>
      </w:pPr>
      <w:r>
        <w:rPr>
          <w:rFonts w:ascii="PT Astra Serif" w:hAnsi="PT Astra Serif" w:eastAsia="Times New Roman"/>
          <w:sz w:val="24"/>
          <w:szCs w:val="24"/>
        </w:rPr>
        <w:t xml:space="preserve">Задаток возвращается всем участникам продажи посредством публичного предложения, кроме победителя, в течение 5 (пяти) календарных дней </w:t>
      </w:r>
      <w:r>
        <w:rPr>
          <w:rFonts w:ascii="PT Astra Serif" w:hAnsi="PT Astra Serif" w:eastAsia="Times New Roman"/>
          <w:sz w:val="24"/>
          <w:szCs w:val="24"/>
        </w:rPr>
        <w:t xml:space="preserve">с даты подведения</w:t>
      </w:r>
      <w:r>
        <w:rPr>
          <w:rFonts w:ascii="PT Astra Serif" w:hAnsi="PT Astra Serif" w:eastAsia="Times New Roman"/>
          <w:sz w:val="24"/>
          <w:szCs w:val="24"/>
        </w:rPr>
        <w:t xml:space="preserve"> итогов продажи. Задаток, перечисленный победителем продажи, засчитывается в сумму платежа по договору купли-продажи.</w:t>
      </w:r>
      <w:r>
        <w:rPr>
          <w:rFonts w:ascii="PT Astra Serif" w:hAnsi="PT Astra Serif"/>
          <w:sz w:val="20"/>
          <w:szCs w:val="20"/>
        </w:rPr>
      </w:r>
      <w:r>
        <w:rPr>
          <w:rFonts w:ascii="PT Astra Serif" w:hAnsi="PT Astra Serif"/>
          <w:sz w:val="20"/>
          <w:szCs w:val="20"/>
        </w:rPr>
      </w:r>
    </w:p>
    <w:p>
      <w:pPr>
        <w:ind w:firstLine="567"/>
        <w:jc w:val="both"/>
        <w:spacing w:line="234" w:lineRule="auto"/>
        <w:rPr>
          <w:rFonts w:ascii="PT Astra Serif" w:hAnsi="PT Astra Serif"/>
          <w:sz w:val="20"/>
          <w:szCs w:val="20"/>
        </w:rPr>
      </w:pPr>
      <w:r>
        <w:rPr>
          <w:rFonts w:ascii="PT Astra Serif" w:hAnsi="PT Astra Serif" w:eastAsia="Times New Roman"/>
          <w:b/>
          <w:bCs/>
          <w:sz w:val="24"/>
          <w:szCs w:val="24"/>
        </w:rPr>
        <w:t xml:space="preserve">Порядок и срок возврата задатков: </w:t>
      </w:r>
      <w:r>
        <w:rPr>
          <w:rFonts w:ascii="PT Astra Serif" w:hAnsi="PT Astra Serif" w:eastAsia="Times New Roman"/>
          <w:sz w:val="24"/>
          <w:szCs w:val="24"/>
        </w:rPr>
        <w:t xml:space="preserve">в соответствии с регламентом электронной площадки.</w:t>
      </w:r>
      <w:r>
        <w:rPr>
          <w:rFonts w:ascii="PT Astra Serif" w:hAnsi="PT Astra Serif" w:eastAsia="Times New Roman"/>
          <w:b/>
          <w:bCs/>
          <w:sz w:val="24"/>
          <w:szCs w:val="24"/>
        </w:rPr>
        <w:t xml:space="preserve"> </w:t>
      </w:r>
      <w:r>
        <w:rPr>
          <w:rFonts w:ascii="PT Astra Serif" w:hAnsi="PT Astra Serif" w:eastAsia="Times New Roman"/>
          <w:sz w:val="24"/>
          <w:szCs w:val="24"/>
        </w:rPr>
        <w:t xml:space="preserve">При уклонении или отказе победителя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r>
        <w:rPr>
          <w:rFonts w:ascii="PT Astra Serif" w:hAnsi="PT Astra Serif"/>
          <w:sz w:val="20"/>
          <w:szCs w:val="20"/>
        </w:rPr>
      </w:r>
      <w:r>
        <w:rPr>
          <w:rFonts w:ascii="PT Astra Serif" w:hAnsi="PT Astra Serif"/>
          <w:sz w:val="20"/>
          <w:szCs w:val="20"/>
        </w:rPr>
      </w:r>
    </w:p>
    <w:p>
      <w:pPr>
        <w:ind w:right="20" w:firstLine="540"/>
        <w:jc w:val="both"/>
        <w:spacing w:line="234" w:lineRule="auto"/>
        <w:rPr>
          <w:rFonts w:ascii="PT Astra Serif" w:hAnsi="PT Astra Serif"/>
          <w:sz w:val="20"/>
          <w:szCs w:val="20"/>
        </w:rPr>
      </w:pPr>
      <w:r>
        <w:rPr>
          <w:rFonts w:ascii="PT Astra Serif" w:hAnsi="PT Astra Serif" w:eastAsia="Times New Roman"/>
          <w:b/>
          <w:bCs/>
          <w:sz w:val="24"/>
          <w:szCs w:val="24"/>
        </w:rPr>
        <w:t xml:space="preserve">Порядок признания претендентов участниками </w:t>
      </w:r>
      <w:r>
        <w:rPr>
          <w:rFonts w:ascii="PT Astra Serif" w:hAnsi="PT Astra Serif" w:eastAsia="Times New Roman"/>
          <w:b/>
          <w:sz w:val="24"/>
          <w:szCs w:val="24"/>
        </w:rPr>
        <w:t xml:space="preserve">продажи посредством публичного предложения</w:t>
      </w:r>
      <w:r>
        <w:rPr>
          <w:rFonts w:ascii="PT Astra Serif" w:hAnsi="PT Astra Serif" w:eastAsia="Times New Roman"/>
          <w:b/>
          <w:bCs/>
          <w:sz w:val="24"/>
          <w:szCs w:val="24"/>
        </w:rPr>
        <w:t xml:space="preserve">: </w:t>
      </w:r>
      <w:r>
        <w:rPr>
          <w:rFonts w:ascii="PT Astra Serif" w:hAnsi="PT Astra Serif" w:eastAsia="Times New Roman"/>
          <w:sz w:val="24"/>
          <w:szCs w:val="24"/>
        </w:rPr>
        <w:t xml:space="preserve">в соответствии с данным информационным сообщением.</w:t>
      </w:r>
      <w:r>
        <w:rPr>
          <w:rFonts w:ascii="PT Astra Serif" w:hAnsi="PT Astra Serif"/>
          <w:sz w:val="20"/>
          <w:szCs w:val="20"/>
        </w:rPr>
      </w:r>
      <w:r>
        <w:rPr>
          <w:rFonts w:ascii="PT Astra Serif" w:hAnsi="PT Astra Serif"/>
          <w:sz w:val="20"/>
          <w:szCs w:val="20"/>
        </w:rPr>
      </w:r>
    </w:p>
    <w:p>
      <w:pPr>
        <w:jc w:val="both"/>
        <w:spacing w:line="2" w:lineRule="exact"/>
        <w:rPr>
          <w:rFonts w:ascii="PT Astra Serif" w:hAnsi="PT Astra Serif"/>
          <w:sz w:val="20"/>
          <w:szCs w:val="20"/>
        </w:rPr>
      </w:pPr>
      <w:r>
        <w:rPr>
          <w:rFonts w:ascii="PT Astra Serif" w:hAnsi="PT Astra Serif"/>
          <w:sz w:val="20"/>
          <w:szCs w:val="20"/>
        </w:rPr>
      </w:r>
      <w:r>
        <w:rPr>
          <w:rFonts w:ascii="PT Astra Serif" w:hAnsi="PT Astra Serif"/>
          <w:sz w:val="20"/>
          <w:szCs w:val="20"/>
        </w:rPr>
      </w:r>
      <w:r>
        <w:rPr>
          <w:rFonts w:ascii="PT Astra Serif" w:hAnsi="PT Astra Serif"/>
          <w:sz w:val="20"/>
          <w:szCs w:val="20"/>
        </w:rPr>
      </w:r>
    </w:p>
    <w:p>
      <w:pPr>
        <w:ind w:left="560"/>
        <w:jc w:val="both"/>
        <w:rPr>
          <w:rFonts w:ascii="PT Astra Serif" w:hAnsi="PT Astra Serif"/>
          <w:sz w:val="20"/>
          <w:szCs w:val="20"/>
        </w:rPr>
      </w:pPr>
      <w:r>
        <w:rPr>
          <w:rFonts w:ascii="PT Astra Serif" w:hAnsi="PT Astra Serif" w:eastAsia="Times New Roman"/>
          <w:sz w:val="24"/>
          <w:szCs w:val="24"/>
        </w:rPr>
        <w:t xml:space="preserve">Претендент не допускается к участию в продаже посредством публичного предложения по следующим основаниям:</w:t>
      </w:r>
      <w:r>
        <w:rPr>
          <w:rFonts w:ascii="PT Astra Serif" w:hAnsi="PT Astra Serif"/>
          <w:sz w:val="20"/>
          <w:szCs w:val="20"/>
        </w:rPr>
      </w:r>
      <w:r>
        <w:rPr>
          <w:rFonts w:ascii="PT Astra Serif" w:hAnsi="PT Astra Serif"/>
          <w:sz w:val="20"/>
          <w:szCs w:val="20"/>
        </w:rPr>
      </w:r>
    </w:p>
    <w:p>
      <w:pPr>
        <w:numPr>
          <w:ilvl w:val="0"/>
          <w:numId w:val="10"/>
        </w:numPr>
        <w:ind w:right="20" w:firstLine="567"/>
        <w:jc w:val="both"/>
        <w:spacing w:line="234" w:lineRule="auto"/>
        <w:tabs>
          <w:tab w:val="left" w:pos="922" w:leader="none"/>
        </w:tabs>
        <w:rPr>
          <w:rFonts w:ascii="PT Astra Serif" w:hAnsi="PT Astra Serif" w:eastAsia="Times New Roman"/>
          <w:sz w:val="24"/>
          <w:szCs w:val="24"/>
        </w:rPr>
      </w:pPr>
      <w:r>
        <w:rPr>
          <w:rFonts w:ascii="PT Astra Serif" w:hAnsi="PT Astra Serif" w:eastAsia="Times New Roman"/>
          <w:sz w:val="24"/>
          <w:szCs w:val="24"/>
        </w:rPr>
        <w:t xml:space="preserve">представленные документы не подтверждают право претендента быть покупателем в соответствии с законодательством Российской Федерации;</w:t>
      </w:r>
      <w:r>
        <w:rPr>
          <w:rFonts w:ascii="PT Astra Serif" w:hAnsi="PT Astra Serif" w:eastAsia="Times New Roman"/>
          <w:sz w:val="24"/>
          <w:szCs w:val="24"/>
        </w:rPr>
      </w:r>
      <w:r>
        <w:rPr>
          <w:rFonts w:ascii="PT Astra Serif" w:hAnsi="PT Astra Serif" w:eastAsia="Times New Roman"/>
          <w:sz w:val="24"/>
          <w:szCs w:val="24"/>
        </w:rPr>
      </w:r>
    </w:p>
    <w:p>
      <w:pPr>
        <w:numPr>
          <w:ilvl w:val="0"/>
          <w:numId w:val="10"/>
        </w:numPr>
        <w:ind w:right="20" w:firstLine="567"/>
        <w:jc w:val="both"/>
        <w:spacing w:line="236" w:lineRule="auto"/>
        <w:tabs>
          <w:tab w:val="left" w:pos="850" w:leader="none"/>
        </w:tabs>
        <w:rPr>
          <w:rFonts w:ascii="PT Astra Serif" w:hAnsi="PT Astra Serif" w:eastAsia="Times New Roman"/>
          <w:sz w:val="24"/>
          <w:szCs w:val="24"/>
        </w:rPr>
      </w:pPr>
      <w:r>
        <w:rPr>
          <w:rFonts w:ascii="PT Astra Serif" w:hAnsi="PT Astra Serif" w:eastAsia="Times New Roman"/>
          <w:sz w:val="24"/>
          <w:szCs w:val="24"/>
        </w:rPr>
        <w:t xml:space="preserve">представлены не все документы в соответствии с перечнем, указанным в информационном сообщении о продаже государственного имущества, либо оформление указанных документов не соответствует законодательству Российской Федерации;</w:t>
      </w:r>
      <w:r>
        <w:rPr>
          <w:rFonts w:ascii="PT Astra Serif" w:hAnsi="PT Astra Serif" w:eastAsia="Times New Roman"/>
          <w:sz w:val="24"/>
          <w:szCs w:val="24"/>
        </w:rPr>
      </w:r>
      <w:r>
        <w:rPr>
          <w:rFonts w:ascii="PT Astra Serif" w:hAnsi="PT Astra Serif" w:eastAsia="Times New Roman"/>
          <w:sz w:val="24"/>
          <w:szCs w:val="24"/>
        </w:rPr>
      </w:r>
    </w:p>
    <w:p>
      <w:pPr>
        <w:numPr>
          <w:ilvl w:val="0"/>
          <w:numId w:val="10"/>
        </w:numPr>
        <w:ind w:right="20" w:firstLine="567"/>
        <w:jc w:val="both"/>
        <w:spacing w:line="234" w:lineRule="auto"/>
        <w:tabs>
          <w:tab w:val="left" w:pos="931" w:leader="none"/>
        </w:tabs>
        <w:rPr>
          <w:rFonts w:ascii="PT Astra Serif" w:hAnsi="PT Astra Serif" w:eastAsia="Times New Roman"/>
          <w:sz w:val="24"/>
          <w:szCs w:val="24"/>
        </w:rPr>
      </w:pPr>
      <w:r>
        <w:rPr>
          <w:rFonts w:ascii="PT Astra Serif" w:hAnsi="PT Astra Serif" w:eastAsia="Times New Roman"/>
          <w:sz w:val="24"/>
          <w:szCs w:val="24"/>
        </w:rPr>
        <w:t xml:space="preserve">заявка на участие в продаже подана лицом, не уполномоченным претендентом на осуществление таких действий;</w:t>
      </w:r>
      <w:r>
        <w:rPr>
          <w:rFonts w:ascii="PT Astra Serif" w:hAnsi="PT Astra Serif" w:eastAsia="Times New Roman"/>
          <w:sz w:val="24"/>
          <w:szCs w:val="24"/>
        </w:rPr>
      </w:r>
      <w:r>
        <w:rPr>
          <w:rFonts w:ascii="PT Astra Serif" w:hAnsi="PT Astra Serif" w:eastAsia="Times New Roman"/>
          <w:sz w:val="24"/>
          <w:szCs w:val="24"/>
        </w:rPr>
      </w:r>
    </w:p>
    <w:p>
      <w:pPr>
        <w:jc w:val="both"/>
        <w:spacing w:line="13" w:lineRule="exact"/>
        <w:rPr>
          <w:rFonts w:ascii="PT Astra Serif" w:hAnsi="PT Astra Serif" w:eastAsia="Times New Roman"/>
          <w:sz w:val="24"/>
          <w:szCs w:val="24"/>
        </w:rPr>
      </w:pPr>
      <w:r>
        <w:rPr>
          <w:rFonts w:ascii="PT Astra Serif" w:hAnsi="PT Astra Serif" w:eastAsia="Times New Roman"/>
          <w:sz w:val="24"/>
          <w:szCs w:val="24"/>
        </w:rPr>
      </w:r>
      <w:r>
        <w:rPr>
          <w:rFonts w:ascii="PT Astra Serif" w:hAnsi="PT Astra Serif" w:eastAsia="Times New Roman"/>
          <w:sz w:val="24"/>
          <w:szCs w:val="24"/>
        </w:rPr>
      </w:r>
      <w:r>
        <w:rPr>
          <w:rFonts w:ascii="PT Astra Serif" w:hAnsi="PT Astra Serif" w:eastAsia="Times New Roman"/>
          <w:sz w:val="24"/>
          <w:szCs w:val="24"/>
        </w:rPr>
      </w:r>
    </w:p>
    <w:p>
      <w:pPr>
        <w:numPr>
          <w:ilvl w:val="0"/>
          <w:numId w:val="10"/>
        </w:numPr>
        <w:ind w:right="20" w:firstLine="567"/>
        <w:jc w:val="both"/>
        <w:spacing w:line="234" w:lineRule="auto"/>
        <w:tabs>
          <w:tab w:val="left" w:pos="912" w:leader="none"/>
        </w:tabs>
        <w:rPr>
          <w:rFonts w:ascii="PT Astra Serif" w:hAnsi="PT Astra Serif" w:eastAsia="Arial" w:cs="Arial"/>
          <w:sz w:val="20"/>
          <w:szCs w:val="20"/>
        </w:rPr>
      </w:pPr>
      <w:r>
        <w:rPr>
          <w:rFonts w:ascii="PT Astra Serif" w:hAnsi="PT Astra Serif" w:eastAsia="Times New Roman"/>
          <w:sz w:val="24"/>
          <w:szCs w:val="24"/>
        </w:rPr>
        <w:t xml:space="preserve">не подтверждено поступление в установленный срок задатка на счет, указанный в информационном сообщении.</w:t>
      </w:r>
      <w:r>
        <w:rPr>
          <w:rFonts w:ascii="PT Astra Serif" w:hAnsi="PT Astra Serif" w:eastAsia="Arial" w:cs="Arial"/>
          <w:sz w:val="20"/>
          <w:szCs w:val="20"/>
        </w:rPr>
      </w:r>
      <w:r>
        <w:rPr>
          <w:rFonts w:ascii="PT Astra Serif" w:hAnsi="PT Astra Serif" w:eastAsia="Arial" w:cs="Arial"/>
          <w:sz w:val="20"/>
          <w:szCs w:val="20"/>
        </w:rPr>
      </w:r>
    </w:p>
    <w:p>
      <w:pPr>
        <w:ind w:firstLine="567"/>
        <w:jc w:val="both"/>
        <w:rPr>
          <w:rFonts w:ascii="PT Astra Serif" w:hAnsi="PT Astra Serif"/>
          <w:sz w:val="20"/>
          <w:szCs w:val="20"/>
        </w:rPr>
      </w:pPr>
      <w:r>
        <w:rPr>
          <w:rFonts w:ascii="PT Astra Serif" w:hAnsi="PT Astra Serif" w:eastAsia="Times New Roman"/>
          <w:b/>
          <w:bCs/>
          <w:sz w:val="24"/>
          <w:szCs w:val="24"/>
        </w:rPr>
        <w:t xml:space="preserve">Порядок проведения продажи посредством публичного предложения: </w:t>
      </w:r>
      <w:r>
        <w:rPr>
          <w:rFonts w:ascii="PT Astra Serif" w:hAnsi="PT Astra Serif" w:eastAsia="Times New Roman"/>
          <w:sz w:val="24"/>
          <w:szCs w:val="24"/>
        </w:rPr>
        <w:t xml:space="preserve">в соответствии с регламентом электронной площадки.</w:t>
      </w:r>
      <w:r>
        <w:rPr>
          <w:rFonts w:ascii="PT Astra Serif" w:hAnsi="PT Astra Serif"/>
          <w:sz w:val="20"/>
          <w:szCs w:val="20"/>
        </w:rPr>
      </w:r>
      <w:r>
        <w:rPr>
          <w:rFonts w:ascii="PT Astra Serif" w:hAnsi="PT Astra Serif"/>
          <w:sz w:val="20"/>
          <w:szCs w:val="20"/>
        </w:rPr>
      </w:r>
    </w:p>
    <w:p>
      <w:pPr>
        <w:ind w:firstLine="540"/>
        <w:jc w:val="both"/>
        <w:spacing w:line="237" w:lineRule="auto"/>
        <w:rPr>
          <w:rFonts w:ascii="PT Astra Serif" w:hAnsi="PT Astra Serif"/>
          <w:sz w:val="20"/>
          <w:szCs w:val="20"/>
        </w:rPr>
      </w:pPr>
      <w:r>
        <w:rPr>
          <w:rFonts w:ascii="PT Astra Serif" w:hAnsi="PT Astra Serif" w:eastAsia="Times New Roman"/>
          <w:sz w:val="24"/>
          <w:szCs w:val="24"/>
        </w:rPr>
        <w:t xml:space="preserve">Ход проведения процедуры продажи посредством публичного предложения фиксируется электронной площадкой в электронном журнале.</w:t>
      </w:r>
      <w:r>
        <w:rPr>
          <w:rFonts w:ascii="PT Astra Serif" w:hAnsi="PT Astra Serif"/>
          <w:sz w:val="20"/>
          <w:szCs w:val="20"/>
        </w:rPr>
      </w:r>
      <w:r>
        <w:rPr>
          <w:rFonts w:ascii="PT Astra Serif" w:hAnsi="PT Astra Serif"/>
          <w:sz w:val="20"/>
          <w:szCs w:val="20"/>
        </w:rPr>
      </w:r>
    </w:p>
    <w:p>
      <w:pPr>
        <w:ind w:firstLine="567"/>
        <w:jc w:val="both"/>
        <w:rPr>
          <w:rFonts w:ascii="PT Astra Serif" w:hAnsi="PT Astra Serif" w:cs="PT Astra Serif"/>
          <w:sz w:val="24"/>
          <w:szCs w:val="24"/>
        </w:rPr>
      </w:pPr>
      <w:r>
        <w:rPr>
          <w:rFonts w:ascii="PT Astra Serif" w:hAnsi="PT Astra Serif" w:eastAsia="Times New Roman"/>
          <w:sz w:val="24"/>
          <w:szCs w:val="24"/>
        </w:rPr>
        <w:t xml:space="preserve">Протокол об итогах продажи имущества посредством публичного предложения, со</w:t>
      </w:r>
      <w:r>
        <w:rPr>
          <w:rFonts w:ascii="PT Astra Serif" w:hAnsi="PT Astra Serif" w:eastAsia="Times New Roman"/>
          <w:sz w:val="24"/>
          <w:szCs w:val="24"/>
        </w:rPr>
        <w:t xml:space="preserve">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r>
        <w:rPr>
          <w:rFonts w:ascii="PT Astra Serif" w:hAnsi="PT Astra Serif" w:cs="PT Astra Serif"/>
          <w:sz w:val="24"/>
          <w:szCs w:val="24"/>
        </w:rPr>
        <w:t xml:space="preserve">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r>
        <w:rPr>
          <w:rFonts w:ascii="PT Astra Serif" w:hAnsi="PT Astra Serif" w:cs="PT Astra Serif"/>
          <w:sz w:val="24"/>
          <w:szCs w:val="24"/>
        </w:rPr>
      </w:r>
      <w:r>
        <w:rPr>
          <w:rFonts w:ascii="PT Astra Serif" w:hAnsi="PT Astra Serif" w:cs="PT Astra Serif"/>
          <w:sz w:val="24"/>
          <w:szCs w:val="24"/>
        </w:rPr>
      </w:r>
    </w:p>
    <w:sectPr>
      <w:footnotePr/>
      <w:endnotePr/>
      <w:type w:val="nextPage"/>
      <w:pgSz w:w="11900" w:h="16838" w:orient="portrait"/>
      <w:pgMar w:top="568" w:right="726" w:bottom="567" w:left="720" w:header="0" w:footer="0" w:gutter="0"/>
      <w:cols w:num="1" w:sep="0" w:space="720" w:equalWidth="0">
        <w:col w:w="10460" w:space="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Tahoma">
    <w:panose1 w:val="020B0604030504040204"/>
  </w:font>
  <w:font w:name="PT Astra Serif">
    <w:panose1 w:val="020A0603040505020204"/>
  </w:font>
  <w:font w:name="Arial">
    <w:panose1 w:val="020B0604020202020204"/>
  </w:font>
  <w:font w:name="Liberation Sans">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В"/>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29"/>
      <w:numFmt w:val="decimal"/>
      <w:isLgl w:val="false"/>
      <w:suff w:val="tab"/>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bullet"/>
      <w:isLgl w:val="false"/>
      <w:suff w:val="tab"/>
      <w:lvlText w:val="о"/>
      <w:lvlJc w:val="left"/>
      <w:pPr/>
    </w:lvl>
    <w:lvl w:ilvl="1">
      <w:start w:val="1"/>
      <w:numFmt w:val="bullet"/>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bullet"/>
      <w:isLgl w:val="false"/>
      <w:suff w:val="tab"/>
      <w:lvlText w:val="о"/>
      <w:lvlJc w:val="left"/>
      <w:pPr/>
    </w:lvl>
    <w:lvl w:ilvl="1">
      <w:start w:val="1"/>
      <w:numFmt w:val="bullet"/>
      <w:isLgl w:val="false"/>
      <w:suff w:val="tab"/>
      <w:lvlText w:val="В"/>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bullet"/>
      <w:isLgl w:val="false"/>
      <w:suff w:val="tab"/>
      <w:lvlText w:val="№"/>
      <w:lvlJc w:val="left"/>
      <w:pPr/>
    </w:lvl>
    <w:lvl w:ilvl="1">
      <w:start w:val="1"/>
      <w:numFmt w:val="bullet"/>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bullet"/>
      <w:isLgl w:val="false"/>
      <w:suff w:val="tab"/>
      <w:lvlText w:val="о"/>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isLgl w:val="false"/>
      <w:suff w:val="tab"/>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8">
    <w:multiLevelType w:val="hybridMultilevel"/>
    <w:lvl w:ilvl="0">
      <w:start w:val="1"/>
      <w:numFmt w:val="decimal"/>
      <w:isLgl w:val="false"/>
      <w:suff w:val="tab"/>
      <w:lvlText w:val="%1)"/>
      <w:lvlJc w:val="left"/>
      <w:pPr/>
      <w:rPr>
        <w:rFonts w:hint="default" w:ascii="Times New Roman" w:hAnsi="Times New Roman" w:cs="Times New Roman"/>
        <w:sz w:val="24"/>
        <w:szCs w:val="24"/>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9">
    <w:multiLevelType w:val="hybridMultilevel"/>
    <w:lvl w:ilvl="0">
      <w:start w:val="1"/>
      <w:numFmt w:val="bullet"/>
      <w:isLgl w:val="false"/>
      <w:suff w:val="tab"/>
      <w:lvlText w:val="с"/>
      <w:lvlJc w:val="left"/>
      <w:pPr/>
    </w:lvl>
    <w:lvl w:ilvl="1">
      <w:start w:val="1"/>
      <w:numFmt w:val="bullet"/>
      <w:isLgl w:val="false"/>
      <w:suff w:val="tab"/>
      <w:lvlText w:val="В"/>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1"/>
      <w:numFmt w:val="bullet"/>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1"/>
      <w:numFmt w:val="bullet"/>
      <w:isLgl w:val="false"/>
      <w:suff w:val="tab"/>
      <w:lvlText w:val="и"/>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5"/>
  </w:num>
  <w:num w:numId="2">
    <w:abstractNumId w:val="10"/>
  </w:num>
  <w:num w:numId="3">
    <w:abstractNumId w:val="4"/>
  </w:num>
  <w:num w:numId="4">
    <w:abstractNumId w:val="11"/>
  </w:num>
  <w:num w:numId="5">
    <w:abstractNumId w:val="6"/>
  </w:num>
  <w:num w:numId="6">
    <w:abstractNumId w:val="1"/>
  </w:num>
  <w:num w:numId="7">
    <w:abstractNumId w:val="0"/>
  </w:num>
  <w:num w:numId="8">
    <w:abstractNumId w:val="9"/>
  </w:num>
  <w:num w:numId="9">
    <w:abstractNumId w:val="2"/>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sz w:val="22"/>
        <w:szCs w:val="22"/>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705"/>
    <w:link w:val="696"/>
    <w:uiPriority w:val="9"/>
    <w:rPr>
      <w:rFonts w:ascii="Liberation Sans" w:hAnsi="Liberation Sans" w:eastAsia="Liberation Sans" w:cs="Liberation Sans"/>
      <w:sz w:val="40"/>
      <w:szCs w:val="40"/>
    </w:rPr>
  </w:style>
  <w:style w:type="character" w:styleId="680">
    <w:name w:val="Heading 2 Char"/>
    <w:basedOn w:val="705"/>
    <w:link w:val="697"/>
    <w:uiPriority w:val="9"/>
    <w:rPr>
      <w:rFonts w:ascii="Liberation Sans" w:hAnsi="Liberation Sans" w:eastAsia="Liberation Sans" w:cs="Liberation Sans"/>
      <w:sz w:val="34"/>
    </w:rPr>
  </w:style>
  <w:style w:type="character" w:styleId="681">
    <w:name w:val="Heading 3 Char"/>
    <w:basedOn w:val="705"/>
    <w:link w:val="698"/>
    <w:uiPriority w:val="9"/>
    <w:rPr>
      <w:rFonts w:ascii="Liberation Sans" w:hAnsi="Liberation Sans" w:eastAsia="Liberation Sans" w:cs="Liberation Sans"/>
      <w:sz w:val="30"/>
      <w:szCs w:val="30"/>
    </w:rPr>
  </w:style>
  <w:style w:type="character" w:styleId="682">
    <w:name w:val="Heading 4 Char"/>
    <w:basedOn w:val="705"/>
    <w:link w:val="699"/>
    <w:uiPriority w:val="9"/>
    <w:rPr>
      <w:rFonts w:ascii="Liberation Sans" w:hAnsi="Liberation Sans" w:eastAsia="Liberation Sans" w:cs="Liberation Sans"/>
      <w:b/>
      <w:bCs/>
      <w:sz w:val="26"/>
      <w:szCs w:val="26"/>
    </w:rPr>
  </w:style>
  <w:style w:type="character" w:styleId="683">
    <w:name w:val="Heading 5 Char"/>
    <w:basedOn w:val="705"/>
    <w:link w:val="700"/>
    <w:uiPriority w:val="9"/>
    <w:rPr>
      <w:rFonts w:ascii="Liberation Sans" w:hAnsi="Liberation Sans" w:eastAsia="Liberation Sans" w:cs="Liberation Sans"/>
      <w:b/>
      <w:bCs/>
      <w:sz w:val="24"/>
      <w:szCs w:val="24"/>
    </w:rPr>
  </w:style>
  <w:style w:type="character" w:styleId="684">
    <w:name w:val="Heading 6 Char"/>
    <w:basedOn w:val="705"/>
    <w:link w:val="701"/>
    <w:uiPriority w:val="9"/>
    <w:rPr>
      <w:rFonts w:ascii="Liberation Sans" w:hAnsi="Liberation Sans" w:eastAsia="Liberation Sans" w:cs="Liberation Sans"/>
      <w:b/>
      <w:bCs/>
      <w:sz w:val="22"/>
      <w:szCs w:val="22"/>
    </w:rPr>
  </w:style>
  <w:style w:type="character" w:styleId="685">
    <w:name w:val="Heading 7 Char"/>
    <w:basedOn w:val="705"/>
    <w:link w:val="702"/>
    <w:uiPriority w:val="9"/>
    <w:rPr>
      <w:rFonts w:ascii="Liberation Sans" w:hAnsi="Liberation Sans" w:eastAsia="Liberation Sans" w:cs="Liberation Sans"/>
      <w:b/>
      <w:bCs/>
      <w:i/>
      <w:iCs/>
      <w:sz w:val="22"/>
      <w:szCs w:val="22"/>
    </w:rPr>
  </w:style>
  <w:style w:type="character" w:styleId="686">
    <w:name w:val="Heading 8 Char"/>
    <w:basedOn w:val="705"/>
    <w:link w:val="703"/>
    <w:uiPriority w:val="9"/>
    <w:rPr>
      <w:rFonts w:ascii="Liberation Sans" w:hAnsi="Liberation Sans" w:eastAsia="Liberation Sans" w:cs="Liberation Sans"/>
      <w:i/>
      <w:iCs/>
      <w:sz w:val="22"/>
      <w:szCs w:val="22"/>
    </w:rPr>
  </w:style>
  <w:style w:type="character" w:styleId="687">
    <w:name w:val="Heading 9 Char"/>
    <w:basedOn w:val="705"/>
    <w:link w:val="704"/>
    <w:uiPriority w:val="9"/>
    <w:rPr>
      <w:rFonts w:ascii="Liberation Sans" w:hAnsi="Liberation Sans" w:eastAsia="Liberation Sans" w:cs="Liberation Sans"/>
      <w:i/>
      <w:iCs/>
      <w:sz w:val="21"/>
      <w:szCs w:val="21"/>
    </w:rPr>
  </w:style>
  <w:style w:type="character" w:styleId="688">
    <w:name w:val="Title Char"/>
    <w:basedOn w:val="705"/>
    <w:link w:val="718"/>
    <w:uiPriority w:val="10"/>
    <w:rPr>
      <w:sz w:val="48"/>
      <w:szCs w:val="48"/>
    </w:rPr>
  </w:style>
  <w:style w:type="character" w:styleId="689">
    <w:name w:val="Subtitle Char"/>
    <w:basedOn w:val="705"/>
    <w:link w:val="720"/>
    <w:uiPriority w:val="11"/>
    <w:rPr>
      <w:sz w:val="24"/>
      <w:szCs w:val="24"/>
    </w:rPr>
  </w:style>
  <w:style w:type="character" w:styleId="690">
    <w:name w:val="Quote Char"/>
    <w:link w:val="722"/>
    <w:uiPriority w:val="29"/>
    <w:rPr>
      <w:i/>
    </w:rPr>
  </w:style>
  <w:style w:type="character" w:styleId="691">
    <w:name w:val="Intense Quote Char"/>
    <w:link w:val="724"/>
    <w:uiPriority w:val="30"/>
    <w:rPr>
      <w:i/>
    </w:rPr>
  </w:style>
  <w:style w:type="character" w:styleId="692">
    <w:name w:val="Caption Char"/>
    <w:basedOn w:val="705"/>
    <w:link w:val="729"/>
    <w:uiPriority w:val="35"/>
    <w:rPr>
      <w:b/>
      <w:bCs/>
      <w:color w:val="4f81bd" w:themeColor="accent1"/>
      <w:sz w:val="18"/>
      <w:szCs w:val="18"/>
    </w:rPr>
  </w:style>
  <w:style w:type="character" w:styleId="693">
    <w:name w:val="Footnote Text Char"/>
    <w:link w:val="856"/>
    <w:uiPriority w:val="99"/>
    <w:rPr>
      <w:sz w:val="18"/>
    </w:rPr>
  </w:style>
  <w:style w:type="character" w:styleId="694">
    <w:name w:val="Endnote Text Char"/>
    <w:link w:val="859"/>
    <w:uiPriority w:val="99"/>
    <w:rPr>
      <w:sz w:val="20"/>
    </w:rPr>
  </w:style>
  <w:style w:type="paragraph" w:styleId="695" w:default="1">
    <w:name w:val="Normal"/>
    <w:qFormat/>
  </w:style>
  <w:style w:type="paragraph" w:styleId="696">
    <w:name w:val="Heading 1"/>
    <w:basedOn w:val="695"/>
    <w:next w:val="695"/>
    <w:link w:val="708"/>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09"/>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10"/>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11"/>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12"/>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13"/>
    <w:uiPriority w:val="9"/>
    <w:unhideWhenUsed/>
    <w:qFormat/>
    <w:pPr>
      <w:keepLines/>
      <w:keepNext/>
      <w:spacing w:before="320" w:after="200"/>
      <w:outlineLvl w:val="5"/>
    </w:pPr>
    <w:rPr>
      <w:rFonts w:ascii="Arial" w:hAnsi="Arial" w:eastAsia="Arial" w:cs="Arial"/>
      <w:b/>
      <w:bCs/>
    </w:rPr>
  </w:style>
  <w:style w:type="paragraph" w:styleId="702">
    <w:name w:val="Heading 7"/>
    <w:basedOn w:val="695"/>
    <w:next w:val="695"/>
    <w:link w:val="714"/>
    <w:uiPriority w:val="9"/>
    <w:unhideWhenUsed/>
    <w:qFormat/>
    <w:pPr>
      <w:keepLines/>
      <w:keepNext/>
      <w:spacing w:before="320" w:after="200"/>
      <w:outlineLvl w:val="6"/>
    </w:pPr>
    <w:rPr>
      <w:rFonts w:ascii="Arial" w:hAnsi="Arial" w:eastAsia="Arial" w:cs="Arial"/>
      <w:b/>
      <w:bCs/>
      <w:i/>
      <w:iCs/>
    </w:rPr>
  </w:style>
  <w:style w:type="paragraph" w:styleId="703">
    <w:name w:val="Heading 8"/>
    <w:basedOn w:val="695"/>
    <w:next w:val="695"/>
    <w:link w:val="715"/>
    <w:uiPriority w:val="9"/>
    <w:unhideWhenUsed/>
    <w:qFormat/>
    <w:pPr>
      <w:keepLines/>
      <w:keepNext/>
      <w:spacing w:before="320" w:after="200"/>
      <w:outlineLvl w:val="7"/>
    </w:pPr>
    <w:rPr>
      <w:rFonts w:ascii="Arial" w:hAnsi="Arial" w:eastAsia="Arial" w:cs="Arial"/>
      <w:i/>
      <w:iCs/>
    </w:rPr>
  </w:style>
  <w:style w:type="paragraph" w:styleId="704">
    <w:name w:val="Heading 9"/>
    <w:basedOn w:val="695"/>
    <w:next w:val="695"/>
    <w:link w:val="716"/>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character" w:styleId="708" w:customStyle="1">
    <w:name w:val="Заголовок 1 Знак"/>
    <w:basedOn w:val="705"/>
    <w:link w:val="696"/>
    <w:uiPriority w:val="9"/>
    <w:rPr>
      <w:rFonts w:ascii="Arial" w:hAnsi="Arial" w:eastAsia="Arial" w:cs="Arial"/>
      <w:sz w:val="40"/>
      <w:szCs w:val="40"/>
    </w:rPr>
  </w:style>
  <w:style w:type="character" w:styleId="709" w:customStyle="1">
    <w:name w:val="Заголовок 2 Знак"/>
    <w:basedOn w:val="705"/>
    <w:link w:val="697"/>
    <w:uiPriority w:val="9"/>
    <w:rPr>
      <w:rFonts w:ascii="Arial" w:hAnsi="Arial" w:eastAsia="Arial" w:cs="Arial"/>
      <w:sz w:val="34"/>
    </w:rPr>
  </w:style>
  <w:style w:type="character" w:styleId="710" w:customStyle="1">
    <w:name w:val="Заголовок 3 Знак"/>
    <w:basedOn w:val="705"/>
    <w:link w:val="698"/>
    <w:uiPriority w:val="9"/>
    <w:rPr>
      <w:rFonts w:ascii="Arial" w:hAnsi="Arial" w:eastAsia="Arial" w:cs="Arial"/>
      <w:sz w:val="30"/>
      <w:szCs w:val="30"/>
    </w:rPr>
  </w:style>
  <w:style w:type="character" w:styleId="711" w:customStyle="1">
    <w:name w:val="Заголовок 4 Знак"/>
    <w:basedOn w:val="705"/>
    <w:link w:val="699"/>
    <w:uiPriority w:val="9"/>
    <w:rPr>
      <w:rFonts w:ascii="Arial" w:hAnsi="Arial" w:eastAsia="Arial" w:cs="Arial"/>
      <w:b/>
      <w:bCs/>
      <w:sz w:val="26"/>
      <w:szCs w:val="26"/>
    </w:rPr>
  </w:style>
  <w:style w:type="character" w:styleId="712" w:customStyle="1">
    <w:name w:val="Заголовок 5 Знак"/>
    <w:basedOn w:val="705"/>
    <w:link w:val="700"/>
    <w:uiPriority w:val="9"/>
    <w:rPr>
      <w:rFonts w:ascii="Arial" w:hAnsi="Arial" w:eastAsia="Arial" w:cs="Arial"/>
      <w:b/>
      <w:bCs/>
      <w:sz w:val="24"/>
      <w:szCs w:val="24"/>
    </w:rPr>
  </w:style>
  <w:style w:type="character" w:styleId="713" w:customStyle="1">
    <w:name w:val="Заголовок 6 Знак"/>
    <w:basedOn w:val="705"/>
    <w:link w:val="701"/>
    <w:uiPriority w:val="9"/>
    <w:rPr>
      <w:rFonts w:ascii="Arial" w:hAnsi="Arial" w:eastAsia="Arial" w:cs="Arial"/>
      <w:b/>
      <w:bCs/>
      <w:sz w:val="22"/>
      <w:szCs w:val="22"/>
    </w:rPr>
  </w:style>
  <w:style w:type="character" w:styleId="714" w:customStyle="1">
    <w:name w:val="Заголовок 7 Знак"/>
    <w:basedOn w:val="705"/>
    <w:link w:val="702"/>
    <w:uiPriority w:val="9"/>
    <w:rPr>
      <w:rFonts w:ascii="Arial" w:hAnsi="Arial" w:eastAsia="Arial" w:cs="Arial"/>
      <w:b/>
      <w:bCs/>
      <w:i/>
      <w:iCs/>
      <w:sz w:val="22"/>
      <w:szCs w:val="22"/>
    </w:rPr>
  </w:style>
  <w:style w:type="character" w:styleId="715" w:customStyle="1">
    <w:name w:val="Заголовок 8 Знак"/>
    <w:basedOn w:val="705"/>
    <w:link w:val="703"/>
    <w:uiPriority w:val="9"/>
    <w:rPr>
      <w:rFonts w:ascii="Arial" w:hAnsi="Arial" w:eastAsia="Arial" w:cs="Arial"/>
      <w:i/>
      <w:iCs/>
      <w:sz w:val="22"/>
      <w:szCs w:val="22"/>
    </w:rPr>
  </w:style>
  <w:style w:type="character" w:styleId="716" w:customStyle="1">
    <w:name w:val="Заголовок 9 Знак"/>
    <w:basedOn w:val="705"/>
    <w:link w:val="704"/>
    <w:uiPriority w:val="9"/>
    <w:rPr>
      <w:rFonts w:ascii="Arial" w:hAnsi="Arial" w:eastAsia="Arial" w:cs="Arial"/>
      <w:i/>
      <w:iCs/>
      <w:sz w:val="21"/>
      <w:szCs w:val="21"/>
    </w:rPr>
  </w:style>
  <w:style w:type="paragraph" w:styleId="717">
    <w:name w:val="No Spacing"/>
    <w:uiPriority w:val="1"/>
    <w:qFormat/>
  </w:style>
  <w:style w:type="paragraph" w:styleId="718">
    <w:name w:val="Title"/>
    <w:basedOn w:val="695"/>
    <w:next w:val="695"/>
    <w:link w:val="719"/>
    <w:uiPriority w:val="10"/>
    <w:qFormat/>
    <w:pPr>
      <w:contextualSpacing/>
      <w:spacing w:before="300" w:after="200"/>
    </w:pPr>
    <w:rPr>
      <w:sz w:val="48"/>
      <w:szCs w:val="48"/>
    </w:rPr>
  </w:style>
  <w:style w:type="character" w:styleId="719" w:customStyle="1">
    <w:name w:val="Название Знак"/>
    <w:basedOn w:val="705"/>
    <w:link w:val="718"/>
    <w:uiPriority w:val="10"/>
    <w:rPr>
      <w:sz w:val="48"/>
      <w:szCs w:val="48"/>
    </w:rPr>
  </w:style>
  <w:style w:type="paragraph" w:styleId="720">
    <w:name w:val="Subtitle"/>
    <w:basedOn w:val="695"/>
    <w:next w:val="695"/>
    <w:link w:val="721"/>
    <w:uiPriority w:val="11"/>
    <w:qFormat/>
    <w:pPr>
      <w:spacing w:before="200" w:after="200"/>
    </w:pPr>
    <w:rPr>
      <w:sz w:val="24"/>
      <w:szCs w:val="24"/>
    </w:rPr>
  </w:style>
  <w:style w:type="character" w:styleId="721" w:customStyle="1">
    <w:name w:val="Подзаголовок Знак"/>
    <w:basedOn w:val="705"/>
    <w:link w:val="720"/>
    <w:uiPriority w:val="11"/>
    <w:rPr>
      <w:sz w:val="24"/>
      <w:szCs w:val="24"/>
    </w:rPr>
  </w:style>
  <w:style w:type="paragraph" w:styleId="722">
    <w:name w:val="Quote"/>
    <w:basedOn w:val="695"/>
    <w:next w:val="695"/>
    <w:link w:val="723"/>
    <w:uiPriority w:val="29"/>
    <w:qFormat/>
    <w:pPr>
      <w:ind w:left="720" w:right="720"/>
    </w:pPr>
    <w:rPr>
      <w:i/>
    </w:rPr>
  </w:style>
  <w:style w:type="character" w:styleId="723" w:customStyle="1">
    <w:name w:val="Цитата 2 Знак"/>
    <w:link w:val="722"/>
    <w:uiPriority w:val="29"/>
    <w:rPr>
      <w:i/>
    </w:rPr>
  </w:style>
  <w:style w:type="paragraph" w:styleId="724">
    <w:name w:val="Intense Quote"/>
    <w:basedOn w:val="695"/>
    <w:next w:val="695"/>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Выделенная цитата Знак"/>
    <w:link w:val="724"/>
    <w:uiPriority w:val="30"/>
    <w:rPr>
      <w:i/>
    </w:rPr>
  </w:style>
  <w:style w:type="character" w:styleId="726" w:customStyle="1">
    <w:name w:val="Header Char"/>
    <w:basedOn w:val="705"/>
    <w:uiPriority w:val="99"/>
  </w:style>
  <w:style w:type="paragraph" w:styleId="727">
    <w:name w:val="Footer"/>
    <w:basedOn w:val="695"/>
    <w:link w:val="730"/>
    <w:uiPriority w:val="99"/>
    <w:unhideWhenUsed/>
    <w:pPr>
      <w:tabs>
        <w:tab w:val="center" w:pos="7143" w:leader="none"/>
        <w:tab w:val="right" w:pos="14287" w:leader="none"/>
      </w:tabs>
    </w:pPr>
  </w:style>
  <w:style w:type="character" w:styleId="728" w:customStyle="1">
    <w:name w:val="Footer Char"/>
    <w:basedOn w:val="705"/>
    <w:uiPriority w:val="99"/>
  </w:style>
  <w:style w:type="paragraph" w:styleId="729">
    <w:name w:val="Caption"/>
    <w:basedOn w:val="695"/>
    <w:next w:val="695"/>
    <w:link w:val="692"/>
    <w:uiPriority w:val="35"/>
    <w:semiHidden/>
    <w:unhideWhenUsed/>
    <w:qFormat/>
    <w:pPr>
      <w:spacing w:line="276" w:lineRule="auto"/>
    </w:pPr>
    <w:rPr>
      <w:b/>
      <w:bCs/>
      <w:color w:val="4f81bd" w:themeColor="accent1"/>
      <w:sz w:val="18"/>
      <w:szCs w:val="18"/>
    </w:rPr>
  </w:style>
  <w:style w:type="character" w:styleId="730" w:customStyle="1">
    <w:name w:val="Нижний колонтитул Знак"/>
    <w:link w:val="727"/>
    <w:uiPriority w:val="99"/>
  </w:style>
  <w:style w:type="table" w:styleId="731" w:customStyle="1">
    <w:name w:val="Table Grid Light"/>
    <w:basedOn w:val="70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2" w:customStyle="1">
    <w:name w:val="Plain Table 1"/>
    <w:basedOn w:val="70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70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70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70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70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70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70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70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70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70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70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70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70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70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70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70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70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70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70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70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70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70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70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70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70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70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0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70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0" w:customStyle="1">
    <w:name w:val="Grid Table 4 - Accent 2"/>
    <w:basedOn w:val="70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1" w:customStyle="1">
    <w:name w:val="Grid Table 4 - Accent 3"/>
    <w:basedOn w:val="70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2" w:customStyle="1">
    <w:name w:val="Grid Table 4 - Accent 4"/>
    <w:basedOn w:val="70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70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70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70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70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3" w:customStyle="1">
    <w:name w:val="Grid Table 6 Colorful - Accent 1"/>
    <w:basedOn w:val="70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4" w:customStyle="1">
    <w:name w:val="Grid Table 6 Colorful - Accent 2"/>
    <w:basedOn w:val="70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5" w:customStyle="1">
    <w:name w:val="Grid Table 6 Colorful - Accent 3"/>
    <w:basedOn w:val="70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6" w:customStyle="1">
    <w:name w:val="Grid Table 6 Colorful - Accent 4"/>
    <w:basedOn w:val="70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7" w:customStyle="1">
    <w:name w:val="Grid Table 6 Colorful - Accent 5"/>
    <w:basedOn w:val="70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6 Colorful - Accent 6"/>
    <w:basedOn w:val="70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9" w:customStyle="1">
    <w:name w:val="Grid Table 7 Colorful"/>
    <w:basedOn w:val="70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70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70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70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70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70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70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70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70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70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70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70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70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70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70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List Table 2 - Accent 1"/>
    <w:basedOn w:val="70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70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6" w:customStyle="1">
    <w:name w:val="List Table 2 - Accent 3"/>
    <w:basedOn w:val="70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70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70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70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70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70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70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70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70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70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70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70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70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70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70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70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70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70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70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customStyle="1">
    <w:name w:val="List Table 5 Dark - Accent 1"/>
    <w:basedOn w:val="70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6" w:customStyle="1">
    <w:name w:val="List Table 5 Dark - Accent 2"/>
    <w:basedOn w:val="70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7" w:customStyle="1">
    <w:name w:val="List Table 5 Dark - Accent 3"/>
    <w:basedOn w:val="70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8" w:customStyle="1">
    <w:name w:val="List Table 5 Dark - Accent 4"/>
    <w:basedOn w:val="70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9" w:customStyle="1">
    <w:name w:val="List Table 5 Dark - Accent 5"/>
    <w:basedOn w:val="70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0" w:customStyle="1">
    <w:name w:val="List Table 5 Dark - Accent 6"/>
    <w:basedOn w:val="70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1" w:customStyle="1">
    <w:name w:val="List Table 6 Colorful"/>
    <w:basedOn w:val="70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List Table 6 Colorful - Accent 1"/>
    <w:basedOn w:val="70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3" w:customStyle="1">
    <w:name w:val="List Table 6 Colorful - Accent 2"/>
    <w:basedOn w:val="70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4" w:customStyle="1">
    <w:name w:val="List Table 6 Colorful - Accent 3"/>
    <w:basedOn w:val="70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5" w:customStyle="1">
    <w:name w:val="List Table 6 Colorful - Accent 4"/>
    <w:basedOn w:val="70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6" w:customStyle="1">
    <w:name w:val="List Table 6 Colorful - Accent 5"/>
    <w:basedOn w:val="70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7" w:customStyle="1">
    <w:name w:val="List Table 6 Colorful - Accent 6"/>
    <w:basedOn w:val="70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8" w:customStyle="1">
    <w:name w:val="List Table 7 Colorful"/>
    <w:basedOn w:val="70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70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70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70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70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70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70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6" w:customStyle="1">
    <w:name w:val="Lined - Accent 1"/>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7" w:customStyle="1">
    <w:name w:val="Lined - Accent 2"/>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8" w:customStyle="1">
    <w:name w:val="Lined - Accent 3"/>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9" w:customStyle="1">
    <w:name w:val="Lined - Accent 4"/>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706"/>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706"/>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Bordered &amp; Lined - Accent 1"/>
    <w:basedOn w:val="706"/>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4" w:customStyle="1">
    <w:name w:val="Bordered &amp; Lined - Accent 2"/>
    <w:basedOn w:val="706"/>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5" w:customStyle="1">
    <w:name w:val="Bordered &amp; Lined - Accent 3"/>
    <w:basedOn w:val="706"/>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6" w:customStyle="1">
    <w:name w:val="Bordered &amp; Lined - Accent 4"/>
    <w:basedOn w:val="706"/>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706"/>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706"/>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70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0" w:customStyle="1">
    <w:name w:val="Bordered - Accent 1"/>
    <w:basedOn w:val="70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70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2" w:customStyle="1">
    <w:name w:val="Bordered - Accent 3"/>
    <w:basedOn w:val="70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3" w:customStyle="1">
    <w:name w:val="Bordered - Accent 4"/>
    <w:basedOn w:val="70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70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70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6">
    <w:name w:val="footnote text"/>
    <w:basedOn w:val="695"/>
    <w:link w:val="857"/>
    <w:uiPriority w:val="99"/>
    <w:semiHidden/>
    <w:unhideWhenUsed/>
    <w:pPr>
      <w:spacing w:after="40"/>
    </w:pPr>
    <w:rPr>
      <w:sz w:val="18"/>
    </w:rPr>
  </w:style>
  <w:style w:type="character" w:styleId="857" w:customStyle="1">
    <w:name w:val="Текст сноски Знак"/>
    <w:link w:val="856"/>
    <w:uiPriority w:val="99"/>
    <w:rPr>
      <w:sz w:val="18"/>
    </w:rPr>
  </w:style>
  <w:style w:type="character" w:styleId="858">
    <w:name w:val="footnote reference"/>
    <w:basedOn w:val="705"/>
    <w:uiPriority w:val="99"/>
    <w:unhideWhenUsed/>
    <w:rPr>
      <w:vertAlign w:val="superscript"/>
    </w:rPr>
  </w:style>
  <w:style w:type="paragraph" w:styleId="859">
    <w:name w:val="endnote text"/>
    <w:basedOn w:val="695"/>
    <w:link w:val="860"/>
    <w:uiPriority w:val="99"/>
    <w:semiHidden/>
    <w:unhideWhenUsed/>
    <w:rPr>
      <w:sz w:val="20"/>
    </w:rPr>
  </w:style>
  <w:style w:type="character" w:styleId="860" w:customStyle="1">
    <w:name w:val="Текст концевой сноски Знак"/>
    <w:link w:val="859"/>
    <w:uiPriority w:val="99"/>
    <w:rPr>
      <w:sz w:val="20"/>
    </w:rPr>
  </w:style>
  <w:style w:type="character" w:styleId="861">
    <w:name w:val="endnote reference"/>
    <w:basedOn w:val="705"/>
    <w:uiPriority w:val="99"/>
    <w:semiHidden/>
    <w:unhideWhenUsed/>
    <w:rPr>
      <w:vertAlign w:val="superscript"/>
    </w:rPr>
  </w:style>
  <w:style w:type="paragraph" w:styleId="862">
    <w:name w:val="toc 1"/>
    <w:basedOn w:val="695"/>
    <w:next w:val="695"/>
    <w:uiPriority w:val="39"/>
    <w:unhideWhenUsed/>
    <w:pPr>
      <w:spacing w:after="57"/>
    </w:pPr>
  </w:style>
  <w:style w:type="paragraph" w:styleId="863">
    <w:name w:val="toc 2"/>
    <w:basedOn w:val="695"/>
    <w:next w:val="695"/>
    <w:uiPriority w:val="39"/>
    <w:unhideWhenUsed/>
    <w:pPr>
      <w:ind w:left="283"/>
      <w:spacing w:after="57"/>
    </w:pPr>
  </w:style>
  <w:style w:type="paragraph" w:styleId="864">
    <w:name w:val="toc 3"/>
    <w:basedOn w:val="695"/>
    <w:next w:val="695"/>
    <w:uiPriority w:val="39"/>
    <w:unhideWhenUsed/>
    <w:pPr>
      <w:ind w:left="567"/>
      <w:spacing w:after="57"/>
    </w:pPr>
  </w:style>
  <w:style w:type="paragraph" w:styleId="865">
    <w:name w:val="toc 4"/>
    <w:basedOn w:val="695"/>
    <w:next w:val="695"/>
    <w:uiPriority w:val="39"/>
    <w:unhideWhenUsed/>
    <w:pPr>
      <w:ind w:left="850"/>
      <w:spacing w:after="57"/>
    </w:pPr>
  </w:style>
  <w:style w:type="paragraph" w:styleId="866">
    <w:name w:val="toc 5"/>
    <w:basedOn w:val="695"/>
    <w:next w:val="695"/>
    <w:uiPriority w:val="39"/>
    <w:unhideWhenUsed/>
    <w:pPr>
      <w:ind w:left="1134"/>
      <w:spacing w:after="57"/>
    </w:pPr>
  </w:style>
  <w:style w:type="paragraph" w:styleId="867">
    <w:name w:val="toc 6"/>
    <w:basedOn w:val="695"/>
    <w:next w:val="695"/>
    <w:uiPriority w:val="39"/>
    <w:unhideWhenUsed/>
    <w:pPr>
      <w:ind w:left="1417"/>
      <w:spacing w:after="57"/>
    </w:pPr>
  </w:style>
  <w:style w:type="paragraph" w:styleId="868">
    <w:name w:val="toc 7"/>
    <w:basedOn w:val="695"/>
    <w:next w:val="695"/>
    <w:uiPriority w:val="39"/>
    <w:unhideWhenUsed/>
    <w:pPr>
      <w:ind w:left="1701"/>
      <w:spacing w:after="57"/>
    </w:pPr>
  </w:style>
  <w:style w:type="paragraph" w:styleId="869">
    <w:name w:val="toc 8"/>
    <w:basedOn w:val="695"/>
    <w:next w:val="695"/>
    <w:uiPriority w:val="39"/>
    <w:unhideWhenUsed/>
    <w:pPr>
      <w:ind w:left="1984"/>
      <w:spacing w:after="57"/>
    </w:pPr>
  </w:style>
  <w:style w:type="paragraph" w:styleId="870">
    <w:name w:val="toc 9"/>
    <w:basedOn w:val="695"/>
    <w:next w:val="695"/>
    <w:uiPriority w:val="39"/>
    <w:unhideWhenUsed/>
    <w:pPr>
      <w:ind w:left="2268"/>
      <w:spacing w:after="57"/>
    </w:pPr>
  </w:style>
  <w:style w:type="paragraph" w:styleId="871">
    <w:name w:val="TOC Heading"/>
    <w:uiPriority w:val="39"/>
    <w:unhideWhenUsed/>
  </w:style>
  <w:style w:type="paragraph" w:styleId="872">
    <w:name w:val="table of figures"/>
    <w:basedOn w:val="695"/>
    <w:next w:val="695"/>
    <w:uiPriority w:val="99"/>
    <w:unhideWhenUsed/>
  </w:style>
  <w:style w:type="character" w:styleId="873">
    <w:name w:val="Hyperlink"/>
    <w:basedOn w:val="705"/>
    <w:uiPriority w:val="99"/>
    <w:unhideWhenUsed/>
    <w:rPr>
      <w:color w:val="0000ff"/>
      <w:u w:val="single"/>
    </w:rPr>
  </w:style>
  <w:style w:type="paragraph" w:styleId="874">
    <w:name w:val="Header"/>
    <w:basedOn w:val="695"/>
    <w:link w:val="875"/>
    <w:pPr>
      <w:tabs>
        <w:tab w:val="center" w:pos="4153" w:leader="none"/>
        <w:tab w:val="right" w:pos="8306" w:leader="none"/>
      </w:tabs>
    </w:pPr>
    <w:rPr>
      <w:rFonts w:eastAsia="Times New Roman"/>
      <w:sz w:val="24"/>
      <w:szCs w:val="24"/>
    </w:rPr>
  </w:style>
  <w:style w:type="character" w:styleId="875" w:customStyle="1">
    <w:name w:val="Верхний колонтитул Знак"/>
    <w:basedOn w:val="705"/>
    <w:link w:val="874"/>
    <w:rPr>
      <w:rFonts w:eastAsia="Times New Roman"/>
      <w:sz w:val="24"/>
      <w:szCs w:val="24"/>
    </w:rPr>
  </w:style>
  <w:style w:type="paragraph" w:styleId="876" w:customStyle="1">
    <w:name w:val="ФИО"/>
    <w:basedOn w:val="695"/>
    <w:link w:val="877"/>
    <w:rPr>
      <w:rFonts w:eastAsia="Times New Roman"/>
      <w:b/>
      <w:sz w:val="24"/>
      <w:szCs w:val="24"/>
    </w:rPr>
  </w:style>
  <w:style w:type="character" w:styleId="877" w:customStyle="1">
    <w:name w:val="ФИО Знак"/>
    <w:link w:val="876"/>
    <w:rPr>
      <w:rFonts w:eastAsia="Times New Roman"/>
      <w:b/>
      <w:sz w:val="24"/>
      <w:szCs w:val="24"/>
    </w:rPr>
  </w:style>
  <w:style w:type="paragraph" w:styleId="878">
    <w:name w:val="Balloon Text"/>
    <w:basedOn w:val="695"/>
    <w:link w:val="879"/>
    <w:uiPriority w:val="99"/>
    <w:semiHidden/>
    <w:unhideWhenUsed/>
    <w:rPr>
      <w:rFonts w:ascii="Tahoma" w:hAnsi="Tahoma" w:cs="Tahoma"/>
      <w:sz w:val="16"/>
      <w:szCs w:val="16"/>
    </w:rPr>
  </w:style>
  <w:style w:type="character" w:styleId="879" w:customStyle="1">
    <w:name w:val="Текст выноски Знак"/>
    <w:basedOn w:val="705"/>
    <w:link w:val="878"/>
    <w:uiPriority w:val="99"/>
    <w:semiHidden/>
    <w:rPr>
      <w:rFonts w:ascii="Tahoma" w:hAnsi="Tahoma" w:cs="Tahoma"/>
      <w:sz w:val="16"/>
      <w:szCs w:val="16"/>
    </w:rPr>
  </w:style>
  <w:style w:type="paragraph" w:styleId="880">
    <w:name w:val="List Paragraph"/>
    <w:basedOn w:val="695"/>
    <w:uiPriority w:val="34"/>
    <w:qFormat/>
    <w:pPr>
      <w:contextualSpacing/>
      <w:ind w:left="720"/>
    </w:pPr>
  </w:style>
  <w:style w:type="table" w:styleId="881">
    <w:name w:val="Table Grid"/>
    <w:basedOn w:val="70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2" w:customStyle="1">
    <w:name w:val="Default"/>
    <w:rPr>
      <w:color w:val="000000"/>
      <w:sz w:val="24"/>
      <w:szCs w:val="24"/>
    </w:rPr>
  </w:style>
  <w:style w:type="paragraph" w:styleId="883">
    <w:name w:val="Body Text"/>
    <w:basedOn w:val="695"/>
    <w:link w:val="884"/>
    <w:rPr>
      <w:rFonts w:eastAsia="Times New Roman"/>
      <w:bCs/>
      <w:sz w:val="32"/>
      <w:szCs w:val="24"/>
    </w:rPr>
  </w:style>
  <w:style w:type="character" w:styleId="884" w:customStyle="1">
    <w:name w:val="Основной текст Знак"/>
    <w:basedOn w:val="705"/>
    <w:link w:val="883"/>
    <w:rPr>
      <w:rFonts w:eastAsia="Times New Roman"/>
      <w:bCs/>
      <w:sz w:val="32"/>
      <w:szCs w:val="24"/>
    </w:rPr>
  </w:style>
  <w:style w:type="character" w:styleId="885">
    <w:name w:val="FollowedHyperlink"/>
    <w:basedOn w:val="705"/>
    <w:uiPriority w:val="99"/>
    <w:semiHidden/>
    <w:unhideWhenUsed/>
    <w:rPr>
      <w:color w:val="800080" w:themeColor="followedHyperlink"/>
      <w:u w:val="single"/>
    </w:rPr>
  </w:style>
  <w:style w:type="paragraph" w:styleId="886" w:customStyle="1">
    <w:name w:val="Основной текст 21"/>
    <w:pPr>
      <w:jc w:val="both"/>
      <w:spacing w:after="80" w:line="228"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szCs w:val="20"/>
      <w:lang w:val="en-US"/>
    </w:rPr>
  </w:style>
  <w:style w:type="paragraph" w:styleId="887" w:customStyle="1">
    <w:name w:val="Исполнитель"/>
    <w:pPr>
      <w:pBdr>
        <w:top w:val="none" w:color="000000" w:sz="4" w:space="0"/>
        <w:left w:val="none" w:color="000000" w:sz="4" w:space="0"/>
        <w:bottom w:val="none" w:color="000000" w:sz="4" w:space="0"/>
        <w:right w:val="none" w:color="000000" w:sz="4" w:space="0"/>
        <w:between w:val="none" w:color="000000" w:sz="4" w:space="0"/>
      </w:pBdr>
    </w:pPr>
    <w:rPr>
      <w:rFonts w:ascii="PT Astra Serif" w:hAnsi="PT Astra Serif" w:eastAsia="Times New Roman"/>
      <w:sz w:val="20"/>
      <w:szCs w:val="20"/>
      <w:lang w:val="en-US"/>
    </w:rPr>
  </w:style>
  <w:style w:type="character" w:styleId="888" w:customStyle="1">
    <w:name w:val="notice-header_title_text"/>
    <w:basedOn w:val="705"/>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hyperlink" Target="http://www.rts-tender.ru" TargetMode="External"/><Relationship Id="rId11" Type="http://schemas.openxmlformats.org/officeDocument/2006/relationships/hyperlink" Target="http://www.rts-tender.ru" TargetMode="External"/><Relationship Id="rId12" Type="http://schemas.openxmlformats.org/officeDocument/2006/relationships/hyperlink" Target="https://www.torgi.gov.&#1075;u" TargetMode="External"/><Relationship Id="rId13" Type="http://schemas.openxmlformats.org/officeDocument/2006/relationships/hyperlink" Target="https://dugs.tomsk.gov.ru/privatizatsija-prodazha-gosudarstvennogo-imuschestva" TargetMode="External"/><Relationship Id="rId14" Type="http://schemas.openxmlformats.org/officeDocument/2006/relationships/hyperlink" Target="http://www.rts-tender.ru" TargetMode="External"/><Relationship Id="rId15" Type="http://schemas.openxmlformats.org/officeDocument/2006/relationships/hyperlink" Target="http://www.rts-tender.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25D97-8754-4BD7-ABE4-2F3C0D1D3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kovalevaes@dugs.local</cp:lastModifiedBy>
  <cp:revision>7</cp:revision>
  <dcterms:created xsi:type="dcterms:W3CDTF">2025-12-18T06:55:00Z</dcterms:created>
  <dcterms:modified xsi:type="dcterms:W3CDTF">2026-09-14T11:08:52Z</dcterms:modified>
</cp:coreProperties>
</file>