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D4A8E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AD4A8E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AD4A8E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91DB5" w:rsidTr="001B2992">
        <w:trPr>
          <w:trHeight w:val="513"/>
        </w:trPr>
        <w:tc>
          <w:tcPr>
            <w:tcW w:w="10206" w:type="dxa"/>
            <w:gridSpan w:val="3"/>
          </w:tcPr>
          <w:p w:rsidR="00C91DB5" w:rsidRPr="00C91DB5" w:rsidRDefault="004F6045" w:rsidP="001B2992">
            <w:pPr>
              <w:jc w:val="center"/>
              <w:rPr>
                <w:sz w:val="26"/>
                <w:szCs w:val="26"/>
                <w:lang w:val="en-US"/>
              </w:rPr>
            </w:pPr>
            <w:bookmarkStart w:id="0" w:name="OLE_LINK3"/>
            <w:bookmarkStart w:id="1" w:name="OLE_LINK4"/>
            <w:bookmarkStart w:id="2" w:name="OLE_LINK19"/>
            <w:r w:rsidRPr="00C91DB5">
              <w:rPr>
                <w:sz w:val="26"/>
                <w:szCs w:val="26"/>
              </w:rPr>
              <w:t xml:space="preserve">Об утверждении </w:t>
            </w:r>
            <w:r w:rsidR="00D54969" w:rsidRPr="00C91DB5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 w:rsidRPr="00C91DB5">
              <w:rPr>
                <w:sz w:val="26"/>
                <w:szCs w:val="26"/>
              </w:rPr>
              <w:t>регионального </w:t>
            </w:r>
            <w:r w:rsidR="00D54969" w:rsidRPr="00C91DB5">
              <w:rPr>
                <w:sz w:val="26"/>
                <w:szCs w:val="26"/>
              </w:rPr>
              <w:t xml:space="preserve">значения </w:t>
            </w:r>
            <w:bookmarkStart w:id="3" w:name="OLE_LINK9"/>
            <w:bookmarkStart w:id="4" w:name="OLE_LINK13"/>
            <w:r w:rsidR="00B55575" w:rsidRPr="00C91DB5">
              <w:rPr>
                <w:sz w:val="26"/>
                <w:szCs w:val="26"/>
              </w:rPr>
              <w:t xml:space="preserve">«Здание губернской гимназии», </w:t>
            </w:r>
            <w:proofErr w:type="spellStart"/>
            <w:r w:rsidR="00B55575" w:rsidRPr="00C91DB5">
              <w:rPr>
                <w:sz w:val="26"/>
                <w:szCs w:val="26"/>
              </w:rPr>
              <w:t>нач</w:t>
            </w:r>
            <w:proofErr w:type="spellEnd"/>
            <w:r w:rsidR="00B55575" w:rsidRPr="00C91DB5">
              <w:rPr>
                <w:sz w:val="26"/>
                <w:szCs w:val="26"/>
              </w:rPr>
              <w:t>. ХХ в.</w:t>
            </w:r>
            <w:bookmarkStart w:id="5" w:name="OLE_LINK64"/>
            <w:bookmarkStart w:id="6" w:name="OLE_LINK65"/>
            <w:r w:rsidR="00B55575" w:rsidRPr="00C91DB5">
              <w:rPr>
                <w:sz w:val="26"/>
                <w:szCs w:val="26"/>
              </w:rPr>
              <w:t xml:space="preserve"> </w:t>
            </w:r>
          </w:p>
          <w:p w:rsidR="00D54969" w:rsidRPr="00C91DB5" w:rsidRDefault="00936C94" w:rsidP="001B2992">
            <w:pPr>
              <w:jc w:val="center"/>
              <w:rPr>
                <w:bCs/>
                <w:sz w:val="26"/>
                <w:szCs w:val="26"/>
              </w:rPr>
            </w:pPr>
            <w:r w:rsidRPr="00C91DB5">
              <w:rPr>
                <w:bCs/>
                <w:sz w:val="26"/>
                <w:szCs w:val="26"/>
              </w:rPr>
              <w:t>(</w:t>
            </w:r>
            <w:r w:rsidR="001B2992" w:rsidRPr="00C91DB5">
              <w:rPr>
                <w:bCs/>
                <w:sz w:val="26"/>
                <w:szCs w:val="26"/>
              </w:rPr>
              <w:t>Томская </w:t>
            </w:r>
            <w:r w:rsidRPr="00C91DB5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3"/>
            <w:bookmarkEnd w:id="4"/>
            <w:bookmarkEnd w:id="5"/>
            <w:bookmarkEnd w:id="6"/>
            <w:bookmarkEnd w:id="2"/>
          </w:p>
        </w:tc>
      </w:tr>
    </w:tbl>
    <w:p w:rsidR="00116CE8" w:rsidRPr="00C91DB5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" w:name="ТекстовоеПоле2"/>
      <w:r w:rsidRPr="00C91DB5">
        <w:rPr>
          <w:rFonts w:ascii="Times New Roman" w:hAnsi="Times New Roman"/>
          <w:sz w:val="26"/>
          <w:szCs w:val="26"/>
        </w:rPr>
        <w:tab/>
      </w:r>
    </w:p>
    <w:p w:rsidR="00243E72" w:rsidRPr="00C91DB5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C91DB5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91DB5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8" w:name="OLE_LINK1"/>
      <w:bookmarkStart w:id="9" w:name="OLE_LINK2"/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8"/>
      <w:bookmarkEnd w:id="9"/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0" w:name="OLE_LINK10"/>
      <w:bookmarkStart w:id="11" w:name="OLE_LINK11"/>
      <w:r w:rsidR="008078A9" w:rsidRPr="00C91DB5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0"/>
      <w:bookmarkEnd w:id="11"/>
      <w:r w:rsidR="008078A9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2" w:name="OLE_LINK5"/>
      <w:bookmarkStart w:id="13" w:name="OLE_LINK6"/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91DB5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2"/>
      <w:bookmarkEnd w:id="13"/>
      <w:r w:rsidR="005739C6" w:rsidRPr="00C91DB5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91DB5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91DB5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91DB5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91DB5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91DB5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91DB5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91DB5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91DB5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C91DB5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ПРИКАЗЫВАЮ:</w:t>
      </w:r>
    </w:p>
    <w:p w:rsidR="00443317" w:rsidRPr="00FB444A" w:rsidRDefault="00FB3CE7" w:rsidP="00B55575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FB444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4" w:name="OLE_LINK12"/>
      <w:r w:rsidR="00973402" w:rsidRPr="00FB444A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5" w:name="OLE_LINK14"/>
      <w:bookmarkStart w:id="16" w:name="OLE_LINK15"/>
      <w:bookmarkEnd w:id="14"/>
      <w:r w:rsidR="00F25918" w:rsidRPr="00FB444A">
        <w:rPr>
          <w:rFonts w:ascii="Times New Roman" w:hAnsi="Times New Roman"/>
          <w:sz w:val="26"/>
          <w:szCs w:val="26"/>
        </w:rPr>
        <w:t>«</w:t>
      </w:r>
      <w:r w:rsidR="00B55575" w:rsidRPr="00FB444A">
        <w:rPr>
          <w:rFonts w:ascii="Times New Roman" w:hAnsi="Times New Roman"/>
          <w:sz w:val="26"/>
          <w:szCs w:val="26"/>
        </w:rPr>
        <w:t>Здание губернской гимназии»</w:t>
      </w:r>
      <w:r w:rsidR="00F240E2" w:rsidRPr="00FB444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240E2" w:rsidRPr="00FB444A">
        <w:rPr>
          <w:rFonts w:ascii="Times New Roman" w:hAnsi="Times New Roman"/>
          <w:sz w:val="26"/>
          <w:szCs w:val="26"/>
        </w:rPr>
        <w:t>нач</w:t>
      </w:r>
      <w:proofErr w:type="spellEnd"/>
      <w:r w:rsidR="00F240E2" w:rsidRPr="00FB444A">
        <w:rPr>
          <w:rFonts w:ascii="Times New Roman" w:hAnsi="Times New Roman"/>
          <w:sz w:val="26"/>
          <w:szCs w:val="26"/>
        </w:rPr>
        <w:t>. ХХ </w:t>
      </w:r>
      <w:r w:rsidR="00B55575" w:rsidRPr="00FB444A">
        <w:rPr>
          <w:rFonts w:ascii="Times New Roman" w:hAnsi="Times New Roman"/>
          <w:sz w:val="26"/>
          <w:szCs w:val="26"/>
        </w:rPr>
        <w:t>в.</w:t>
      </w:r>
      <w:r w:rsidR="00F25918" w:rsidRPr="00FB444A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="000031B1" w:rsidRPr="00FB444A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FB444A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15"/>
      <w:bookmarkEnd w:id="16"/>
      <w:r w:rsidR="00243E72" w:rsidRPr="00FB444A">
        <w:rPr>
          <w:rFonts w:ascii="Times New Roman" w:hAnsi="Times New Roman"/>
          <w:sz w:val="26"/>
          <w:szCs w:val="26"/>
        </w:rPr>
        <w:t xml:space="preserve">Томская область, г. Томск, </w:t>
      </w:r>
      <w:r w:rsidR="00B55575" w:rsidRPr="00FB444A">
        <w:rPr>
          <w:rFonts w:ascii="Times New Roman" w:hAnsi="Times New Roman"/>
          <w:sz w:val="26"/>
          <w:szCs w:val="26"/>
        </w:rPr>
        <w:t>Фрунзе про</w:t>
      </w:r>
      <w:r w:rsidR="005D264A" w:rsidRPr="00FB444A">
        <w:rPr>
          <w:rFonts w:ascii="Times New Roman" w:hAnsi="Times New Roman"/>
          <w:sz w:val="26"/>
          <w:szCs w:val="26"/>
        </w:rPr>
        <w:t>спект, 9</w:t>
      </w:r>
      <w:r w:rsidR="009375B9" w:rsidRPr="00FB444A">
        <w:rPr>
          <w:rFonts w:ascii="Times New Roman" w:hAnsi="Times New Roman"/>
          <w:sz w:val="26"/>
          <w:szCs w:val="26"/>
        </w:rPr>
        <w:t xml:space="preserve"> угол Советская улица, </w:t>
      </w:r>
      <w:r w:rsidR="00B55575" w:rsidRPr="00FB444A">
        <w:rPr>
          <w:rFonts w:ascii="Times New Roman" w:hAnsi="Times New Roman"/>
          <w:sz w:val="26"/>
          <w:szCs w:val="26"/>
        </w:rPr>
        <w:t xml:space="preserve">40 </w:t>
      </w:r>
      <w:r w:rsidR="009375B9" w:rsidRPr="00FB444A">
        <w:rPr>
          <w:rFonts w:ascii="Times New Roman" w:hAnsi="Times New Roman"/>
          <w:sz w:val="26"/>
          <w:szCs w:val="26"/>
        </w:rPr>
        <w:t>(адрес на момент принятия на государственную охрану: г. Томск, ул. Советская, 40)</w:t>
      </w:r>
      <w:r w:rsidR="00C91DB5" w:rsidRPr="00FB444A">
        <w:rPr>
          <w:rFonts w:ascii="Times New Roman" w:hAnsi="Times New Roman"/>
          <w:sz w:val="26"/>
          <w:szCs w:val="26"/>
        </w:rPr>
        <w:t>,</w:t>
      </w:r>
      <w:r w:rsidR="009375B9" w:rsidRPr="00FB444A">
        <w:rPr>
          <w:rFonts w:ascii="Times New Roman" w:hAnsi="Times New Roman"/>
          <w:sz w:val="26"/>
          <w:szCs w:val="26"/>
        </w:rPr>
        <w:t xml:space="preserve"> </w:t>
      </w:r>
      <w:r w:rsidRPr="00FB444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FB444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FB444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FB444A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FB444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C91DB5" w:rsidRDefault="001B2992" w:rsidP="00B55575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91DB5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C91DB5">
        <w:rPr>
          <w:rFonts w:ascii="Times New Roman" w:hAnsi="Times New Roman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FB3CE7" w:rsidRPr="00C91DB5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992" w:rsidRPr="00C91DB5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73" w:type="dxa"/>
        <w:tblLayout w:type="fixed"/>
        <w:tblLook w:val="04A0"/>
      </w:tblPr>
      <w:tblGrid>
        <w:gridCol w:w="3831"/>
        <w:gridCol w:w="3507"/>
        <w:gridCol w:w="2835"/>
      </w:tblGrid>
      <w:tr w:rsidR="001B2992" w:rsidRPr="00C91DB5" w:rsidTr="001B2992">
        <w:tc>
          <w:tcPr>
            <w:tcW w:w="3831" w:type="dxa"/>
            <w:shd w:val="clear" w:color="auto" w:fill="auto"/>
            <w:vAlign w:val="center"/>
          </w:tcPr>
          <w:bookmarkEnd w:id="7"/>
          <w:p w:rsidR="001B2992" w:rsidRPr="00C91DB5" w:rsidRDefault="001B2992" w:rsidP="00C43F0C">
            <w:pPr>
              <w:rPr>
                <w:sz w:val="26"/>
                <w:szCs w:val="26"/>
              </w:rPr>
            </w:pPr>
            <w:r w:rsidRPr="00C91DB5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C91DB5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2992" w:rsidRPr="00C91DB5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C91DB5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04"/>
        <w:gridCol w:w="4110"/>
      </w:tblGrid>
      <w:tr w:rsidR="000031B1" w:rsidRPr="00F64729" w:rsidTr="001B2992">
        <w:trPr>
          <w:trHeight w:val="426"/>
        </w:trPr>
        <w:tc>
          <w:tcPr>
            <w:tcW w:w="6204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110" w:type="dxa"/>
          </w:tcPr>
          <w:p w:rsidR="000031B1" w:rsidRPr="005A62EF" w:rsidRDefault="000031B1" w:rsidP="000031B1">
            <w:pPr>
              <w:jc w:val="both"/>
            </w:pPr>
            <w:r w:rsidRPr="005A62EF">
              <w:t xml:space="preserve">Приложение к приказу </w:t>
            </w:r>
          </w:p>
          <w:p w:rsidR="000031B1" w:rsidRPr="005A62EF" w:rsidRDefault="000031B1" w:rsidP="000031B1">
            <w:pPr>
              <w:jc w:val="both"/>
            </w:pPr>
            <w:r w:rsidRPr="005A62EF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1B2992">
        <w:trPr>
          <w:trHeight w:val="270"/>
        </w:trPr>
        <w:tc>
          <w:tcPr>
            <w:tcW w:w="6204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0031B1" w:rsidRPr="005A62EF" w:rsidRDefault="000031B1" w:rsidP="000031B1">
            <w:pPr>
              <w:jc w:val="both"/>
            </w:pPr>
            <w:r w:rsidRPr="005A62EF">
              <w:t xml:space="preserve">от                             № </w:t>
            </w: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p w:rsidR="00C91DB5" w:rsidRDefault="00AD7D8B" w:rsidP="00B55575">
      <w:pPr>
        <w:jc w:val="center"/>
        <w:rPr>
          <w:b/>
          <w:sz w:val="26"/>
          <w:szCs w:val="26"/>
        </w:rPr>
      </w:pPr>
      <w:r w:rsidRPr="004502CE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  <w:bookmarkStart w:id="17" w:name="OLE_LINK62"/>
      <w:bookmarkStart w:id="18" w:name="OLE_LINK63"/>
    </w:p>
    <w:p w:rsidR="00B55575" w:rsidRPr="00C91DB5" w:rsidRDefault="00B55575" w:rsidP="00C91DB5">
      <w:pPr>
        <w:jc w:val="center"/>
        <w:rPr>
          <w:sz w:val="26"/>
          <w:szCs w:val="26"/>
        </w:rPr>
      </w:pPr>
      <w:r w:rsidRPr="00C91DB5">
        <w:rPr>
          <w:sz w:val="26"/>
          <w:szCs w:val="26"/>
        </w:rPr>
        <w:t>«Здание губернской гимназии</w:t>
      </w:r>
      <w:r w:rsidR="00C91DB5">
        <w:rPr>
          <w:sz w:val="26"/>
          <w:szCs w:val="26"/>
        </w:rPr>
        <w:t xml:space="preserve">», </w:t>
      </w:r>
      <w:proofErr w:type="spellStart"/>
      <w:r w:rsidR="00C91DB5">
        <w:rPr>
          <w:sz w:val="26"/>
          <w:szCs w:val="26"/>
        </w:rPr>
        <w:t>нач</w:t>
      </w:r>
      <w:proofErr w:type="spellEnd"/>
      <w:r w:rsidR="00C91DB5">
        <w:rPr>
          <w:sz w:val="26"/>
          <w:szCs w:val="26"/>
        </w:rPr>
        <w:t>. ХХ в.</w:t>
      </w:r>
      <w:r w:rsidRPr="00C91DB5">
        <w:rPr>
          <w:sz w:val="26"/>
          <w:szCs w:val="26"/>
        </w:rPr>
        <w:t xml:space="preserve"> </w:t>
      </w:r>
      <w:r w:rsidR="005D264A" w:rsidRPr="00C91DB5">
        <w:rPr>
          <w:bCs/>
          <w:sz w:val="26"/>
          <w:szCs w:val="26"/>
        </w:rPr>
        <w:t>(Томская область)</w:t>
      </w:r>
    </w:p>
    <w:p w:rsidR="00C91DB5" w:rsidRPr="00C91DB5" w:rsidRDefault="00C91DB5" w:rsidP="00B55575">
      <w:pPr>
        <w:jc w:val="both"/>
        <w:rPr>
          <w:color w:val="0000FF"/>
          <w:sz w:val="26"/>
          <w:szCs w:val="26"/>
        </w:rPr>
      </w:pP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-24" w:firstLine="591"/>
        <w:jc w:val="both"/>
        <w:rPr>
          <w:b/>
          <w:sz w:val="26"/>
          <w:szCs w:val="26"/>
        </w:rPr>
      </w:pPr>
      <w:r w:rsidRPr="004502CE">
        <w:rPr>
          <w:b/>
          <w:sz w:val="26"/>
          <w:szCs w:val="26"/>
        </w:rPr>
        <w:t>Градостроительные характеристики здания:</w:t>
      </w:r>
    </w:p>
    <w:p w:rsidR="00B55575" w:rsidRPr="004502CE" w:rsidRDefault="00B55575" w:rsidP="004502CE">
      <w:pPr>
        <w:numPr>
          <w:ilvl w:val="1"/>
          <w:numId w:val="26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4502CE">
        <w:rPr>
          <w:sz w:val="26"/>
          <w:szCs w:val="26"/>
        </w:rPr>
        <w:t xml:space="preserve">Местоположение здания в юго-западной угловой части квартала, главным (южным) фасадом по красной линии </w:t>
      </w:r>
      <w:r w:rsidRPr="004502CE">
        <w:rPr>
          <w:rStyle w:val="FontStyle21"/>
        </w:rPr>
        <w:t xml:space="preserve">площади Ново-Соборной </w:t>
      </w:r>
      <w:r w:rsidR="00C91DB5">
        <w:rPr>
          <w:rStyle w:val="FontStyle21"/>
        </w:rPr>
        <w:t>(ориентировано на </w:t>
      </w:r>
      <w:r w:rsidRPr="004502CE">
        <w:rPr>
          <w:rStyle w:val="FontStyle21"/>
        </w:rPr>
        <w:t>территорию Городского сада)</w:t>
      </w:r>
      <w:r w:rsidRPr="004502CE">
        <w:rPr>
          <w:sz w:val="26"/>
          <w:szCs w:val="26"/>
        </w:rPr>
        <w:t>, западным</w:t>
      </w:r>
      <w:r w:rsidR="00C91DB5">
        <w:rPr>
          <w:sz w:val="26"/>
          <w:szCs w:val="26"/>
        </w:rPr>
        <w:t xml:space="preserve"> фасадом – по красной линии ул. </w:t>
      </w:r>
      <w:r w:rsidRPr="004502CE">
        <w:rPr>
          <w:sz w:val="26"/>
          <w:szCs w:val="26"/>
        </w:rPr>
        <w:t>Советской. Здание формирует историческую застройку пл.</w:t>
      </w:r>
      <w:r w:rsidR="00C91DB5">
        <w:rPr>
          <w:sz w:val="26"/>
          <w:szCs w:val="26"/>
        </w:rPr>
        <w:t> </w:t>
      </w:r>
      <w:r w:rsidRPr="004502CE">
        <w:rPr>
          <w:rStyle w:val="FontStyle21"/>
        </w:rPr>
        <w:t>Ново-Соборной</w:t>
      </w:r>
      <w:r w:rsidR="00C91DB5">
        <w:rPr>
          <w:sz w:val="26"/>
          <w:szCs w:val="26"/>
        </w:rPr>
        <w:t xml:space="preserve"> и ул. Советской (б. ул. </w:t>
      </w:r>
      <w:r w:rsidRPr="004502CE">
        <w:rPr>
          <w:sz w:val="26"/>
          <w:szCs w:val="26"/>
        </w:rPr>
        <w:t xml:space="preserve">Еланской) периода кон. </w:t>
      </w:r>
      <w:r w:rsidRPr="004502CE">
        <w:rPr>
          <w:sz w:val="26"/>
          <w:szCs w:val="26"/>
          <w:lang w:val="en-US"/>
        </w:rPr>
        <w:t>XIX</w:t>
      </w:r>
      <w:r w:rsidRPr="004502CE">
        <w:rPr>
          <w:sz w:val="26"/>
          <w:szCs w:val="26"/>
        </w:rPr>
        <w:t xml:space="preserve"> – </w:t>
      </w:r>
      <w:proofErr w:type="spellStart"/>
      <w:r w:rsidRPr="004502CE">
        <w:rPr>
          <w:sz w:val="26"/>
          <w:szCs w:val="26"/>
        </w:rPr>
        <w:t>нач</w:t>
      </w:r>
      <w:proofErr w:type="spellEnd"/>
      <w:r w:rsidRPr="004502CE">
        <w:rPr>
          <w:sz w:val="26"/>
          <w:szCs w:val="26"/>
        </w:rPr>
        <w:t xml:space="preserve">. ХХ вв. </w:t>
      </w:r>
    </w:p>
    <w:p w:rsidR="00B55575" w:rsidRPr="004502CE" w:rsidRDefault="00B55575" w:rsidP="004502CE">
      <w:pPr>
        <w:numPr>
          <w:ilvl w:val="1"/>
          <w:numId w:val="26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4502CE">
        <w:rPr>
          <w:sz w:val="26"/>
          <w:szCs w:val="26"/>
        </w:rPr>
        <w:t xml:space="preserve">Габариты здания на дату строительства </w:t>
      </w:r>
      <w:r w:rsidR="00C91DB5">
        <w:rPr>
          <w:sz w:val="26"/>
          <w:szCs w:val="26"/>
        </w:rPr>
        <w:t>1898 </w:t>
      </w:r>
      <w:r w:rsidRPr="004502CE">
        <w:rPr>
          <w:sz w:val="26"/>
          <w:szCs w:val="26"/>
        </w:rPr>
        <w:t xml:space="preserve">г. и его силуэт, акцентированный по оси симметрии более высоким объемом и аттиками по осям ризалитов. </w:t>
      </w:r>
    </w:p>
    <w:p w:rsidR="00B55575" w:rsidRPr="004502CE" w:rsidRDefault="00B55575" w:rsidP="004502CE">
      <w:pPr>
        <w:numPr>
          <w:ilvl w:val="1"/>
          <w:numId w:val="26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591"/>
        <w:jc w:val="both"/>
        <w:rPr>
          <w:rStyle w:val="a9"/>
          <w:b w:val="0"/>
          <w:bCs w:val="0"/>
          <w:sz w:val="26"/>
          <w:szCs w:val="26"/>
        </w:rPr>
      </w:pPr>
      <w:r w:rsidRPr="004502CE">
        <w:rPr>
          <w:sz w:val="26"/>
          <w:szCs w:val="26"/>
        </w:rPr>
        <w:t xml:space="preserve">Секторы и направления видовых раскрытий здания </w:t>
      </w:r>
      <w:r w:rsidR="00C91DB5">
        <w:rPr>
          <w:sz w:val="26"/>
          <w:szCs w:val="26"/>
        </w:rPr>
        <w:t>при его восприятии с </w:t>
      </w:r>
      <w:r w:rsidRPr="004502CE">
        <w:rPr>
          <w:sz w:val="26"/>
          <w:szCs w:val="26"/>
        </w:rPr>
        <w:t>ул.</w:t>
      </w:r>
      <w:r w:rsidR="00C91DB5">
        <w:rPr>
          <w:sz w:val="26"/>
          <w:szCs w:val="26"/>
        </w:rPr>
        <w:t> </w:t>
      </w:r>
      <w:proofErr w:type="gramStart"/>
      <w:r w:rsidR="00C91DB5">
        <w:rPr>
          <w:sz w:val="26"/>
          <w:szCs w:val="26"/>
        </w:rPr>
        <w:t>Советской</w:t>
      </w:r>
      <w:proofErr w:type="gramEnd"/>
      <w:r w:rsidR="00C91DB5">
        <w:rPr>
          <w:sz w:val="26"/>
          <w:szCs w:val="26"/>
        </w:rPr>
        <w:t>, ул. </w:t>
      </w:r>
      <w:r w:rsidRPr="004502CE">
        <w:rPr>
          <w:sz w:val="26"/>
          <w:szCs w:val="26"/>
        </w:rPr>
        <w:t xml:space="preserve">Крылова, </w:t>
      </w:r>
      <w:r w:rsidR="00C91DB5">
        <w:rPr>
          <w:sz w:val="26"/>
          <w:szCs w:val="26"/>
        </w:rPr>
        <w:t>пр. </w:t>
      </w:r>
      <w:r w:rsidRPr="004502CE">
        <w:rPr>
          <w:sz w:val="26"/>
          <w:szCs w:val="26"/>
        </w:rPr>
        <w:t xml:space="preserve">Фрунзе, </w:t>
      </w:r>
      <w:r w:rsidR="00C91DB5">
        <w:rPr>
          <w:sz w:val="26"/>
          <w:szCs w:val="26"/>
        </w:rPr>
        <w:t>пл. </w:t>
      </w:r>
      <w:r w:rsidRPr="004502CE">
        <w:rPr>
          <w:sz w:val="26"/>
          <w:szCs w:val="26"/>
        </w:rPr>
        <w:t>Ново-Соборной, с территории Городского сада и с дворовой территории объекта.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-24" w:right="-48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Объемно-пространственная композиция здания</w:t>
      </w:r>
      <w:r w:rsidRPr="004502CE">
        <w:rPr>
          <w:sz w:val="26"/>
          <w:szCs w:val="26"/>
        </w:rPr>
        <w:t xml:space="preserve"> на дату строительства </w:t>
      </w:r>
      <w:r w:rsidR="00C91DB5">
        <w:rPr>
          <w:sz w:val="26"/>
          <w:szCs w:val="26"/>
        </w:rPr>
        <w:t>1898 </w:t>
      </w:r>
      <w:r w:rsidRPr="004502CE">
        <w:rPr>
          <w:sz w:val="26"/>
          <w:szCs w:val="26"/>
        </w:rPr>
        <w:t>г. Симметричное крупномасштабное 2-х этажное каменное здание с подвалом, «П»</w:t>
      </w:r>
      <w:proofErr w:type="gramStart"/>
      <w:r w:rsidRPr="004502CE">
        <w:rPr>
          <w:sz w:val="26"/>
          <w:szCs w:val="26"/>
        </w:rPr>
        <w:t>–о</w:t>
      </w:r>
      <w:proofErr w:type="gramEnd"/>
      <w:r w:rsidRPr="004502CE">
        <w:rPr>
          <w:sz w:val="26"/>
          <w:szCs w:val="26"/>
        </w:rPr>
        <w:t xml:space="preserve">бразное в плане. </w:t>
      </w:r>
      <w:proofErr w:type="gramStart"/>
      <w:r w:rsidRPr="004502CE">
        <w:rPr>
          <w:sz w:val="26"/>
          <w:szCs w:val="26"/>
        </w:rPr>
        <w:t xml:space="preserve">С северной стороны здание достроено более поздней пристройкой аналогичного объема, композиционно замкнувшей </w:t>
      </w:r>
      <w:proofErr w:type="spellStart"/>
      <w:r w:rsidRPr="004502CE">
        <w:rPr>
          <w:sz w:val="26"/>
          <w:szCs w:val="26"/>
        </w:rPr>
        <w:t>периметральную</w:t>
      </w:r>
      <w:proofErr w:type="spellEnd"/>
      <w:r w:rsidRPr="004502CE">
        <w:rPr>
          <w:sz w:val="26"/>
          <w:szCs w:val="26"/>
        </w:rPr>
        <w:t xml:space="preserve"> застройку объекта с организацией внутреннего двора и сквозным проездом через восточное крыло (в месте пристройки).</w:t>
      </w:r>
      <w:proofErr w:type="gramEnd"/>
      <w:r w:rsidRPr="004502CE">
        <w:rPr>
          <w:sz w:val="26"/>
          <w:szCs w:val="26"/>
        </w:rPr>
        <w:t xml:space="preserve"> Композиционный акцент центральной части первоначального здания – 3-х этажный объем (с двухсветным залом бывшей домой церкви и парадной лестницей).</w:t>
      </w:r>
      <w:r w:rsidR="00C91DB5">
        <w:rPr>
          <w:sz w:val="26"/>
          <w:szCs w:val="26"/>
        </w:rPr>
        <w:t xml:space="preserve"> Высотные отметки по </w:t>
      </w:r>
      <w:r w:rsidRPr="004502CE">
        <w:rPr>
          <w:sz w:val="26"/>
          <w:szCs w:val="26"/>
        </w:rPr>
        <w:t>венчающим карнизам всех объемов здания и аттиков.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Конфигурация крыши</w:t>
      </w:r>
      <w:r w:rsidRPr="004502CE">
        <w:rPr>
          <w:sz w:val="26"/>
          <w:szCs w:val="26"/>
        </w:rPr>
        <w:t xml:space="preserve"> сложная вальмовая, конструкция и материал стропильной системы. Материал и характер кровельного покрытия (металл с окраской), высотные отметки по коньку и карнизу основного объема и ризалитов. Сохранившиеся слуховые окна (арочные, </w:t>
      </w:r>
      <w:proofErr w:type="gramStart"/>
      <w:r w:rsidRPr="004502CE">
        <w:rPr>
          <w:sz w:val="26"/>
          <w:szCs w:val="26"/>
        </w:rPr>
        <w:t>круглое</w:t>
      </w:r>
      <w:proofErr w:type="gramEnd"/>
      <w:r w:rsidRPr="004502CE">
        <w:rPr>
          <w:sz w:val="26"/>
          <w:szCs w:val="26"/>
        </w:rPr>
        <w:t xml:space="preserve">) на аттиках ризалитов главного фасада. Водосточные трубы (восстановленные в </w:t>
      </w:r>
      <w:proofErr w:type="gramStart"/>
      <w:r w:rsidRPr="004502CE">
        <w:rPr>
          <w:sz w:val="26"/>
          <w:szCs w:val="26"/>
        </w:rPr>
        <w:t>процессе</w:t>
      </w:r>
      <w:proofErr w:type="gramEnd"/>
      <w:r w:rsidRPr="004502CE">
        <w:rPr>
          <w:sz w:val="26"/>
          <w:szCs w:val="26"/>
        </w:rPr>
        <w:t xml:space="preserve"> научной реставрации)</w:t>
      </w:r>
      <w:r w:rsidR="00C91DB5">
        <w:rPr>
          <w:sz w:val="26"/>
          <w:szCs w:val="26"/>
        </w:rPr>
        <w:t xml:space="preserve"> их местоположение, материал и </w:t>
      </w:r>
      <w:r w:rsidRPr="004502CE">
        <w:rPr>
          <w:sz w:val="26"/>
          <w:szCs w:val="26"/>
        </w:rPr>
        <w:t>декоративное оформление.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C91DB5">
        <w:rPr>
          <w:sz w:val="26"/>
          <w:szCs w:val="26"/>
        </w:rPr>
        <w:t xml:space="preserve"> на </w:t>
      </w:r>
      <w:r w:rsidRPr="004502CE">
        <w:rPr>
          <w:sz w:val="26"/>
          <w:szCs w:val="26"/>
        </w:rPr>
        <w:t xml:space="preserve">дату строительства 1898 г., выполненных в </w:t>
      </w:r>
      <w:proofErr w:type="gramStart"/>
      <w:r w:rsidRPr="004502CE">
        <w:rPr>
          <w:sz w:val="26"/>
          <w:szCs w:val="26"/>
        </w:rPr>
        <w:t>стиле</w:t>
      </w:r>
      <w:proofErr w:type="gramEnd"/>
      <w:r w:rsidRPr="004502CE">
        <w:rPr>
          <w:sz w:val="26"/>
          <w:szCs w:val="26"/>
        </w:rPr>
        <w:t xml:space="preserve"> эклектика с элементами классицизма:</w:t>
      </w:r>
    </w:p>
    <w:p w:rsidR="00B55575" w:rsidRPr="00C91DB5" w:rsidRDefault="00B55575" w:rsidP="00C91DB5">
      <w:pPr>
        <w:pStyle w:val="af0"/>
        <w:numPr>
          <w:ilvl w:val="0"/>
          <w:numId w:val="28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Композиция главного (южного) фасада симметричная трехчастная</w:t>
      </w:r>
      <w:r w:rsidR="00C91DB5" w:rsidRPr="00C91DB5">
        <w:rPr>
          <w:rFonts w:ascii="Times New Roman" w:hAnsi="Times New Roman"/>
          <w:sz w:val="26"/>
          <w:szCs w:val="26"/>
        </w:rPr>
        <w:t xml:space="preserve"> в 27 осей окон (2 </w:t>
      </w:r>
      <w:r w:rsidRPr="00C91DB5">
        <w:rPr>
          <w:rFonts w:ascii="Times New Roman" w:hAnsi="Times New Roman"/>
          <w:sz w:val="26"/>
          <w:szCs w:val="26"/>
        </w:rPr>
        <w:t>этаж), акцентированная по центральной оси – крупным, выступающим</w:t>
      </w:r>
      <w:r w:rsidR="00C91DB5">
        <w:rPr>
          <w:rFonts w:ascii="Times New Roman" w:hAnsi="Times New Roman"/>
          <w:sz w:val="26"/>
          <w:szCs w:val="26"/>
        </w:rPr>
        <w:t xml:space="preserve">                   3–</w:t>
      </w:r>
      <w:proofErr w:type="spellStart"/>
      <w:r w:rsidR="00C91DB5">
        <w:rPr>
          <w:rFonts w:ascii="Times New Roman" w:hAnsi="Times New Roman"/>
          <w:sz w:val="26"/>
          <w:szCs w:val="26"/>
        </w:rPr>
        <w:t>х</w:t>
      </w:r>
      <w:proofErr w:type="spellEnd"/>
      <w:r w:rsidR="00C91DB5">
        <w:rPr>
          <w:rFonts w:ascii="Times New Roman" w:hAnsi="Times New Roman"/>
          <w:sz w:val="26"/>
          <w:szCs w:val="26"/>
        </w:rPr>
        <w:t> </w:t>
      </w:r>
      <w:r w:rsidRPr="00C91DB5">
        <w:rPr>
          <w:rFonts w:ascii="Times New Roman" w:hAnsi="Times New Roman"/>
          <w:sz w:val="26"/>
          <w:szCs w:val="26"/>
        </w:rPr>
        <w:t>этажным объемом с аттиком в уровне крыши и одноэта</w:t>
      </w:r>
      <w:r w:rsidR="00C91DB5">
        <w:rPr>
          <w:rFonts w:ascii="Times New Roman" w:hAnsi="Times New Roman"/>
          <w:sz w:val="26"/>
          <w:szCs w:val="26"/>
        </w:rPr>
        <w:t>жным тамбуром парадного входа в </w:t>
      </w:r>
      <w:r w:rsidRPr="00C91DB5">
        <w:rPr>
          <w:rFonts w:ascii="Times New Roman" w:hAnsi="Times New Roman"/>
          <w:sz w:val="26"/>
          <w:szCs w:val="26"/>
        </w:rPr>
        <w:t xml:space="preserve">уровне 1-го этажа. Боковые оси – двумя значительно выступающими ризалитами </w:t>
      </w:r>
      <w:r w:rsidR="00C91DB5">
        <w:rPr>
          <w:rFonts w:ascii="Times New Roman" w:hAnsi="Times New Roman"/>
          <w:sz w:val="26"/>
          <w:szCs w:val="26"/>
        </w:rPr>
        <w:t>с </w:t>
      </w:r>
      <w:r w:rsidRPr="00C91DB5">
        <w:rPr>
          <w:rFonts w:ascii="Times New Roman" w:hAnsi="Times New Roman"/>
          <w:sz w:val="26"/>
          <w:szCs w:val="26"/>
        </w:rPr>
        <w:t xml:space="preserve">парными окнами и аналогичными аттиками. Западный и восточный фасады фронтальной композиции в 12 осей окон, каждый из которых акцентирован двумя боковыми ризалитами, незначительно выступающими из поля стены с парными окнами и аттиками. </w:t>
      </w:r>
    </w:p>
    <w:p w:rsidR="00B55575" w:rsidRPr="00C91DB5" w:rsidRDefault="00B55575" w:rsidP="00C91DB5">
      <w:pPr>
        <w:pStyle w:val="af0"/>
        <w:numPr>
          <w:ilvl w:val="0"/>
          <w:numId w:val="28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Симметричная композиция дворовых фасадов здания центральные оси, которых акцентированы на северном фасаде – крупным, вы</w:t>
      </w:r>
      <w:r w:rsidR="00C91DB5" w:rsidRPr="00C91DB5">
        <w:rPr>
          <w:rFonts w:ascii="Times New Roman" w:hAnsi="Times New Roman"/>
          <w:sz w:val="26"/>
          <w:szCs w:val="26"/>
        </w:rPr>
        <w:t>ступающим 2–</w:t>
      </w:r>
      <w:proofErr w:type="spellStart"/>
      <w:r w:rsidR="00C91DB5" w:rsidRPr="00C91DB5">
        <w:rPr>
          <w:rFonts w:ascii="Times New Roman" w:hAnsi="Times New Roman"/>
          <w:sz w:val="26"/>
          <w:szCs w:val="26"/>
        </w:rPr>
        <w:t>х</w:t>
      </w:r>
      <w:proofErr w:type="spellEnd"/>
      <w:r w:rsidR="00C91DB5" w:rsidRPr="00C91DB5">
        <w:rPr>
          <w:rFonts w:ascii="Times New Roman" w:hAnsi="Times New Roman"/>
          <w:sz w:val="26"/>
          <w:szCs w:val="26"/>
        </w:rPr>
        <w:t xml:space="preserve"> этажным объемом с </w:t>
      </w:r>
      <w:r w:rsidRPr="00C91DB5">
        <w:rPr>
          <w:rFonts w:ascii="Times New Roman" w:hAnsi="Times New Roman"/>
          <w:sz w:val="26"/>
          <w:szCs w:val="26"/>
        </w:rPr>
        <w:t>центральным 3–</w:t>
      </w:r>
      <w:proofErr w:type="spellStart"/>
      <w:r w:rsidRPr="00C91DB5">
        <w:rPr>
          <w:rFonts w:ascii="Times New Roman" w:hAnsi="Times New Roman"/>
          <w:sz w:val="26"/>
          <w:szCs w:val="26"/>
        </w:rPr>
        <w:t>х</w:t>
      </w:r>
      <w:proofErr w:type="spellEnd"/>
      <w:r w:rsidRPr="00C91DB5">
        <w:rPr>
          <w:rFonts w:ascii="Times New Roman" w:hAnsi="Times New Roman"/>
          <w:sz w:val="26"/>
          <w:szCs w:val="26"/>
        </w:rPr>
        <w:t xml:space="preserve"> этажным ризалитом лестничного блока. На западном</w:t>
      </w:r>
      <w:r w:rsidR="00C91DB5">
        <w:rPr>
          <w:rFonts w:ascii="Times New Roman" w:hAnsi="Times New Roman"/>
          <w:sz w:val="26"/>
          <w:szCs w:val="26"/>
        </w:rPr>
        <w:t xml:space="preserve"> и </w:t>
      </w:r>
      <w:r w:rsidRPr="00C91DB5">
        <w:rPr>
          <w:rFonts w:ascii="Times New Roman" w:hAnsi="Times New Roman"/>
          <w:sz w:val="26"/>
          <w:szCs w:val="26"/>
        </w:rPr>
        <w:t xml:space="preserve">восточном фасадах – ризалитами лестничных блоков. </w:t>
      </w:r>
    </w:p>
    <w:p w:rsidR="00B55575" w:rsidRPr="00C91DB5" w:rsidRDefault="00B55575" w:rsidP="00C91DB5">
      <w:pPr>
        <w:pStyle w:val="af0"/>
        <w:numPr>
          <w:ilvl w:val="0"/>
          <w:numId w:val="28"/>
        </w:numPr>
        <w:tabs>
          <w:tab w:val="num" w:pos="1134"/>
        </w:tabs>
        <w:spacing w:line="240" w:lineRule="auto"/>
        <w:ind w:left="0" w:right="61"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Декоративное оформление уличных фасадов (в т.ч. тамбур)</w:t>
      </w:r>
      <w:r w:rsidR="00C91DB5" w:rsidRPr="00C91DB5">
        <w:rPr>
          <w:rFonts w:ascii="Times New Roman" w:hAnsi="Times New Roman"/>
          <w:sz w:val="26"/>
          <w:szCs w:val="26"/>
        </w:rPr>
        <w:t>: профильный карниз с </w:t>
      </w:r>
      <w:r w:rsidRPr="00C91DB5">
        <w:rPr>
          <w:rFonts w:ascii="Times New Roman" w:hAnsi="Times New Roman"/>
          <w:sz w:val="26"/>
          <w:szCs w:val="26"/>
        </w:rPr>
        <w:t xml:space="preserve">выносными плитами из песчаника, массивный цоколь с обрамлением оконных проемов подвала, профильные междуэтажные пояса (из лекального кирпича). Два типа руста: </w:t>
      </w:r>
      <w:r w:rsidR="00C91DB5" w:rsidRPr="00C91DB5">
        <w:rPr>
          <w:rFonts w:ascii="Times New Roman" w:hAnsi="Times New Roman"/>
          <w:sz w:val="26"/>
          <w:szCs w:val="26"/>
        </w:rPr>
        <w:t>в </w:t>
      </w:r>
      <w:r w:rsidRPr="00C91DB5">
        <w:rPr>
          <w:rFonts w:ascii="Times New Roman" w:hAnsi="Times New Roman"/>
          <w:sz w:val="26"/>
          <w:szCs w:val="26"/>
        </w:rPr>
        <w:t xml:space="preserve">уровне 1-го этажа – </w:t>
      </w:r>
      <w:proofErr w:type="gramStart"/>
      <w:r w:rsidRPr="00C91DB5">
        <w:rPr>
          <w:rFonts w:ascii="Times New Roman" w:hAnsi="Times New Roman"/>
          <w:sz w:val="26"/>
          <w:szCs w:val="26"/>
        </w:rPr>
        <w:t>скошенный</w:t>
      </w:r>
      <w:proofErr w:type="gramEnd"/>
      <w:r w:rsidRPr="00C91DB5">
        <w:rPr>
          <w:rFonts w:ascii="Times New Roman" w:hAnsi="Times New Roman"/>
          <w:sz w:val="26"/>
          <w:szCs w:val="26"/>
        </w:rPr>
        <w:t xml:space="preserve">  (над проемами – клинчатой формы с замковым камнем), </w:t>
      </w:r>
      <w:r w:rsidRPr="00C91DB5">
        <w:rPr>
          <w:rFonts w:ascii="Times New Roman" w:hAnsi="Times New Roman"/>
          <w:sz w:val="26"/>
          <w:szCs w:val="26"/>
        </w:rPr>
        <w:lastRenderedPageBreak/>
        <w:t xml:space="preserve">в уровне 2-го этажа – прямоугольный. Пилястры, оформляющие центральную часть ризалитов и проем парадного входа (тамбур). Обрамление парных арочных окон 1–го этажа ризалитов с фигурными колонками. Обрамление окон 2–го этажа в </w:t>
      </w:r>
      <w:proofErr w:type="gramStart"/>
      <w:r w:rsidRPr="00C91DB5">
        <w:rPr>
          <w:rFonts w:ascii="Times New Roman" w:hAnsi="Times New Roman"/>
          <w:sz w:val="26"/>
          <w:szCs w:val="26"/>
        </w:rPr>
        <w:t>виде</w:t>
      </w:r>
      <w:proofErr w:type="gramEnd"/>
      <w:r w:rsidRPr="00C91DB5">
        <w:rPr>
          <w:rFonts w:ascii="Times New Roman" w:hAnsi="Times New Roman"/>
          <w:sz w:val="26"/>
          <w:szCs w:val="26"/>
        </w:rPr>
        <w:t xml:space="preserve"> прямоугольного наличника с профильным карнизом,</w:t>
      </w:r>
      <w:r w:rsidR="00C91DB5" w:rsidRPr="00C91DB5">
        <w:rPr>
          <w:rFonts w:ascii="Times New Roman" w:hAnsi="Times New Roman"/>
          <w:sz w:val="26"/>
          <w:szCs w:val="26"/>
        </w:rPr>
        <w:t xml:space="preserve"> пилястрами на боковых частях и </w:t>
      </w:r>
      <w:r w:rsidRPr="00C91DB5">
        <w:rPr>
          <w:rFonts w:ascii="Times New Roman" w:hAnsi="Times New Roman"/>
          <w:sz w:val="26"/>
          <w:szCs w:val="26"/>
        </w:rPr>
        <w:t>оформлением поля стены под окнами постаментами пилястр и прямоугольными филенками. Элементы декора первоначального арочного дверного проема западного фасада: две ¾ кирпичные колонны на прямоугольных пьедесталах, расположенные с двух сторон от проема и поддерживающие массивный профильный карниз с выносными плитами из песчаника. Аттики их местоположение, габаритные размеры, материал (кирпич) и декоративное оформление. Фигурные а</w:t>
      </w:r>
      <w:r w:rsidR="00C91DB5" w:rsidRPr="00C91DB5">
        <w:rPr>
          <w:rFonts w:ascii="Times New Roman" w:hAnsi="Times New Roman"/>
          <w:sz w:val="26"/>
          <w:szCs w:val="26"/>
        </w:rPr>
        <w:t>ттики с лучковым завершением на </w:t>
      </w:r>
      <w:r w:rsidRPr="00C91DB5">
        <w:rPr>
          <w:rFonts w:ascii="Times New Roman" w:hAnsi="Times New Roman"/>
          <w:sz w:val="26"/>
          <w:szCs w:val="26"/>
        </w:rPr>
        <w:t>«плечиках» расположены на главном (южном) фасаде, прямоугольные – на боковых фасадах (по осям ризалитов). Балкон над тамбуром парадного входа с «глухим» кирпичным ограждением.</w:t>
      </w:r>
    </w:p>
    <w:p w:rsidR="00B55575" w:rsidRPr="00C91DB5" w:rsidRDefault="00B55575" w:rsidP="00C91DB5">
      <w:pPr>
        <w:pStyle w:val="af0"/>
        <w:numPr>
          <w:ilvl w:val="0"/>
          <w:numId w:val="28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Декоративное оформление дворовых фасадов: профильный карниз с плитами песчаника в конструкции (по углам), профильные междуэтажные пояса (из лекального кирпича), прямоугольный руст на углах центрального объема в уровне 1-го этажа, веерообразные замковые камни по осям проемов 1-го этажа.</w:t>
      </w:r>
    </w:p>
    <w:p w:rsidR="00B55575" w:rsidRPr="00C91DB5" w:rsidRDefault="00B55575" w:rsidP="00C91DB5">
      <w:pPr>
        <w:pStyle w:val="af0"/>
        <w:numPr>
          <w:ilvl w:val="0"/>
          <w:numId w:val="28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C91DB5">
        <w:rPr>
          <w:rFonts w:ascii="Times New Roman" w:hAnsi="Times New Roman"/>
          <w:sz w:val="26"/>
          <w:szCs w:val="26"/>
        </w:rPr>
        <w:t>Местоположение и габариты входов: парад</w:t>
      </w:r>
      <w:r w:rsidR="00C91DB5" w:rsidRPr="00C91DB5">
        <w:rPr>
          <w:rFonts w:ascii="Times New Roman" w:hAnsi="Times New Roman"/>
          <w:sz w:val="26"/>
          <w:szCs w:val="26"/>
        </w:rPr>
        <w:t>ный – крупный арочный проем для </w:t>
      </w:r>
      <w:r w:rsidRPr="00C91DB5">
        <w:rPr>
          <w:rFonts w:ascii="Times New Roman" w:hAnsi="Times New Roman"/>
          <w:sz w:val="26"/>
          <w:szCs w:val="26"/>
        </w:rPr>
        <w:t>двухстворчатых дверей с остекленной аро</w:t>
      </w:r>
      <w:r w:rsidR="00C91DB5" w:rsidRPr="00C91DB5">
        <w:rPr>
          <w:rFonts w:ascii="Times New Roman" w:hAnsi="Times New Roman"/>
          <w:sz w:val="26"/>
          <w:szCs w:val="26"/>
        </w:rPr>
        <w:t>чной фрамугой, расположенный по </w:t>
      </w:r>
      <w:r w:rsidRPr="00C91DB5">
        <w:rPr>
          <w:rFonts w:ascii="Times New Roman" w:hAnsi="Times New Roman"/>
          <w:sz w:val="26"/>
          <w:szCs w:val="26"/>
        </w:rPr>
        <w:t>центральной оси главного (южного) фасада (тамбур). Дополнительные входы – крупные прямоугольные проемы с клинчатыми перемычками для двухстворчатых дверей, расположенные по осям ризалитов лестничных блоков дворовых фасадов. А также местоположение, габариты и форма первоначального дверного пр</w:t>
      </w:r>
      <w:r w:rsidR="00C91DB5">
        <w:rPr>
          <w:rFonts w:ascii="Times New Roman" w:hAnsi="Times New Roman"/>
          <w:sz w:val="26"/>
          <w:szCs w:val="26"/>
        </w:rPr>
        <w:t>оема на западном фасаде здания.</w:t>
      </w:r>
    </w:p>
    <w:p w:rsidR="00B55575" w:rsidRPr="00C91DB5" w:rsidRDefault="00B55575" w:rsidP="00C91DB5">
      <w:pPr>
        <w:pStyle w:val="20"/>
        <w:numPr>
          <w:ilvl w:val="0"/>
          <w:numId w:val="28"/>
        </w:numPr>
        <w:tabs>
          <w:tab w:val="num" w:pos="1134"/>
        </w:tabs>
        <w:ind w:left="0" w:firstLine="567"/>
        <w:rPr>
          <w:sz w:val="26"/>
          <w:szCs w:val="26"/>
        </w:rPr>
      </w:pPr>
      <w:proofErr w:type="gramStart"/>
      <w:r w:rsidRPr="00C91DB5">
        <w:rPr>
          <w:sz w:val="26"/>
          <w:szCs w:val="26"/>
        </w:rPr>
        <w:t>Местоположение, размеры и форма оконных проемов (все типоразмеры): арочные (полуциркульные), расположенные в уровне 1-го этажа ризалитов уличных фасадов, в уровне 3-го этажа центрального объема южного фасада (уровень 2-го света парадного зала) и в уровне чердака на ризалитах лестничных блоков дворовых фасадов.</w:t>
      </w:r>
      <w:proofErr w:type="gramEnd"/>
      <w:r w:rsidRPr="00C91DB5">
        <w:rPr>
          <w:sz w:val="26"/>
          <w:szCs w:val="26"/>
        </w:rPr>
        <w:t xml:space="preserve"> Все остальные оконные проемы – прямоугольные с клинчатыми перемычками.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right="-24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Материал и первоначальный характер обработки фасадных поверхностей</w:t>
      </w:r>
      <w:r w:rsidRPr="004502CE">
        <w:rPr>
          <w:sz w:val="26"/>
          <w:szCs w:val="26"/>
        </w:rPr>
        <w:t xml:space="preserve"> на дату строительства</w:t>
      </w:r>
      <w:r w:rsidR="00C91DB5">
        <w:rPr>
          <w:sz w:val="26"/>
          <w:szCs w:val="26"/>
        </w:rPr>
        <w:t xml:space="preserve"> здания 1898 </w:t>
      </w:r>
      <w:r w:rsidRPr="004502CE">
        <w:rPr>
          <w:sz w:val="26"/>
          <w:szCs w:val="26"/>
        </w:rPr>
        <w:t>г. Лицевая кирпичная кладка гладких и рустованных участков стен, элементов декора (в т.ч. из лекально</w:t>
      </w:r>
      <w:r w:rsidR="00C91DB5">
        <w:rPr>
          <w:sz w:val="26"/>
          <w:szCs w:val="26"/>
        </w:rPr>
        <w:t>го кирпича) и плиты песчаника в </w:t>
      </w:r>
      <w:r w:rsidRPr="004502CE">
        <w:rPr>
          <w:sz w:val="26"/>
          <w:szCs w:val="26"/>
        </w:rPr>
        <w:t>конструкции карниза.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Колористическое решение фасадов здания</w:t>
      </w:r>
      <w:r w:rsidR="00C91DB5">
        <w:rPr>
          <w:sz w:val="26"/>
          <w:szCs w:val="26"/>
        </w:rPr>
        <w:t xml:space="preserve"> на 1898 </w:t>
      </w:r>
      <w:r w:rsidRPr="004502CE">
        <w:rPr>
          <w:sz w:val="26"/>
          <w:szCs w:val="26"/>
        </w:rPr>
        <w:t>г</w:t>
      </w:r>
      <w:r w:rsidR="00C91DB5">
        <w:rPr>
          <w:sz w:val="26"/>
          <w:szCs w:val="26"/>
        </w:rPr>
        <w:t>., основанное на </w:t>
      </w:r>
      <w:r w:rsidRPr="004502CE">
        <w:rPr>
          <w:sz w:val="26"/>
          <w:szCs w:val="26"/>
        </w:rPr>
        <w:t>естественном цвете старого кирпича и песчаника.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Первоначальный вид столярных оконных и дверных заполнений</w:t>
      </w:r>
      <w:r w:rsidR="00C91DB5">
        <w:rPr>
          <w:sz w:val="26"/>
          <w:szCs w:val="26"/>
        </w:rPr>
        <w:t xml:space="preserve"> их </w:t>
      </w:r>
      <w:r w:rsidRPr="004502CE">
        <w:rPr>
          <w:sz w:val="26"/>
          <w:szCs w:val="26"/>
        </w:rPr>
        <w:t>материал (дерево), габариты и форма (прямоугольные, арочные), рисунок переплета оконных рам. Восстановленные по сохранившимся а</w:t>
      </w:r>
      <w:r w:rsidR="00C91DB5">
        <w:rPr>
          <w:sz w:val="26"/>
          <w:szCs w:val="26"/>
        </w:rPr>
        <w:t>налогам двери парадного входа с </w:t>
      </w:r>
      <w:r w:rsidRPr="004502CE">
        <w:rPr>
          <w:sz w:val="26"/>
          <w:szCs w:val="26"/>
        </w:rPr>
        <w:t>остекленной фрамугой (в т.ч. тамбур). Внутренние двери (</w:t>
      </w:r>
      <w:r w:rsidR="00C91DB5">
        <w:rPr>
          <w:sz w:val="26"/>
          <w:szCs w:val="26"/>
        </w:rPr>
        <w:t>восстановленные по </w:t>
      </w:r>
      <w:r w:rsidRPr="004502CE">
        <w:rPr>
          <w:sz w:val="26"/>
          <w:szCs w:val="26"/>
        </w:rPr>
        <w:t>сохранившимся аналогам): деревянные филенчатые одно-, двухстворчатые.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proofErr w:type="gramStart"/>
      <w:r w:rsidRPr="004502CE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4502CE">
        <w:rPr>
          <w:sz w:val="26"/>
          <w:szCs w:val="26"/>
        </w:rPr>
        <w:t xml:space="preserve"> в габаритах капитальных несущих конструкций стен и перекрытий на дату строительства здания </w:t>
      </w:r>
      <w:smartTag w:uri="urn:schemas-microsoft-com:office:smarttags" w:element="metricconverter">
        <w:smartTagPr>
          <w:attr w:name="ProductID" w:val="1898 г"/>
        </w:smartTagPr>
        <w:r w:rsidRPr="004502CE">
          <w:rPr>
            <w:sz w:val="26"/>
            <w:szCs w:val="26"/>
          </w:rPr>
          <w:t>1898 г</w:t>
        </w:r>
      </w:smartTag>
      <w:r w:rsidRPr="004502CE">
        <w:rPr>
          <w:sz w:val="26"/>
          <w:szCs w:val="26"/>
        </w:rPr>
        <w:t>., включая первоначальные габариты дверных проемов всех помещений здания и крупных арочных проемов.</w:t>
      </w:r>
      <w:proofErr w:type="gramEnd"/>
      <w:r w:rsidRPr="004502CE">
        <w:rPr>
          <w:sz w:val="26"/>
          <w:szCs w:val="26"/>
        </w:rPr>
        <w:t xml:space="preserve"> Планировочная структура здания – смешанная (коридорная, анфиладная) с тремя лестничными блоками, имеющими выходы во внутренний двор. Расположение по центральной оси здания: тамбура парадного входа, вестибюля (пространство которого решено двумя рядами колонн, соединенных арками) и парадной лестницей. Расположение в </w:t>
      </w:r>
      <w:proofErr w:type="gramStart"/>
      <w:r w:rsidRPr="004502CE">
        <w:rPr>
          <w:sz w:val="26"/>
          <w:szCs w:val="26"/>
        </w:rPr>
        <w:t>уровне</w:t>
      </w:r>
      <w:proofErr w:type="gramEnd"/>
      <w:r w:rsidRPr="004502CE">
        <w:rPr>
          <w:sz w:val="26"/>
          <w:szCs w:val="26"/>
        </w:rPr>
        <w:t xml:space="preserve"> 2 и 3-го этажей (над вестибюлем) двухсветного парадного зала с хорами.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4502CE">
        <w:rPr>
          <w:sz w:val="26"/>
          <w:szCs w:val="26"/>
        </w:rPr>
        <w:t xml:space="preserve"> </w:t>
      </w:r>
      <w:r w:rsidRPr="004502CE">
        <w:rPr>
          <w:b/>
          <w:sz w:val="26"/>
          <w:szCs w:val="26"/>
        </w:rPr>
        <w:t>Конструктивные элементы здания</w:t>
      </w:r>
      <w:r w:rsidRPr="004502CE">
        <w:rPr>
          <w:sz w:val="26"/>
          <w:szCs w:val="26"/>
        </w:rPr>
        <w:t xml:space="preserve"> на дату строительства 1898 г. Фундаменты из бутового камня, стены кирпичные, колонны кирпичные. Все виды несущих кирпичных арок (полукруглых, </w:t>
      </w:r>
      <w:proofErr w:type="spellStart"/>
      <w:r w:rsidRPr="004502CE">
        <w:rPr>
          <w:sz w:val="26"/>
          <w:szCs w:val="26"/>
        </w:rPr>
        <w:t>трехцентровых</w:t>
      </w:r>
      <w:proofErr w:type="spellEnd"/>
      <w:r w:rsidRPr="004502CE">
        <w:rPr>
          <w:sz w:val="26"/>
          <w:szCs w:val="26"/>
        </w:rPr>
        <w:t xml:space="preserve">). Все кирпичные своды перекрытий: крестовые, </w:t>
      </w:r>
      <w:proofErr w:type="spellStart"/>
      <w:r w:rsidRPr="004502CE">
        <w:rPr>
          <w:sz w:val="26"/>
          <w:szCs w:val="26"/>
        </w:rPr>
        <w:t>коробовые</w:t>
      </w:r>
      <w:proofErr w:type="spellEnd"/>
      <w:r w:rsidRPr="004502CE">
        <w:rPr>
          <w:sz w:val="26"/>
          <w:szCs w:val="26"/>
        </w:rPr>
        <w:t xml:space="preserve"> (в т.ч. с распалубками и на подпружных арках). Кирпичные своды </w:t>
      </w:r>
      <w:r w:rsidR="00C91DB5">
        <w:rPr>
          <w:sz w:val="26"/>
          <w:szCs w:val="26"/>
        </w:rPr>
        <w:t>в </w:t>
      </w:r>
      <w:r w:rsidRPr="004502CE">
        <w:rPr>
          <w:sz w:val="26"/>
          <w:szCs w:val="26"/>
        </w:rPr>
        <w:t xml:space="preserve">конструкции лестничных площадок. Кованые металлические связи. 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Лестницы внутренние</w:t>
      </w:r>
      <w:r w:rsidRPr="004502CE">
        <w:rPr>
          <w:sz w:val="26"/>
          <w:szCs w:val="26"/>
        </w:rPr>
        <w:t xml:space="preserve"> на дату строительства </w:t>
      </w:r>
      <w:r w:rsidR="00C91DB5">
        <w:rPr>
          <w:sz w:val="26"/>
          <w:szCs w:val="26"/>
        </w:rPr>
        <w:t>здания 1898 г. их </w:t>
      </w:r>
      <w:r w:rsidRPr="004502CE">
        <w:rPr>
          <w:sz w:val="26"/>
          <w:szCs w:val="26"/>
        </w:rPr>
        <w:t xml:space="preserve">местоположение, материал, размеры, конструкция, конфигурация маршей, профиль ступеней и характер ограждения. Лестницы из песчаника по </w:t>
      </w:r>
      <w:proofErr w:type="gramStart"/>
      <w:r w:rsidRPr="004502CE">
        <w:rPr>
          <w:sz w:val="26"/>
          <w:szCs w:val="26"/>
        </w:rPr>
        <w:t>металлическим</w:t>
      </w:r>
      <w:proofErr w:type="gramEnd"/>
      <w:r w:rsidRPr="004502CE">
        <w:rPr>
          <w:sz w:val="26"/>
          <w:szCs w:val="26"/>
        </w:rPr>
        <w:t xml:space="preserve"> </w:t>
      </w:r>
      <w:proofErr w:type="spellStart"/>
      <w:r w:rsidRPr="004502CE">
        <w:rPr>
          <w:sz w:val="26"/>
          <w:szCs w:val="26"/>
        </w:rPr>
        <w:t>косоурам</w:t>
      </w:r>
      <w:proofErr w:type="spellEnd"/>
      <w:r w:rsidRPr="004502CE">
        <w:rPr>
          <w:sz w:val="26"/>
          <w:szCs w:val="26"/>
        </w:rPr>
        <w:t xml:space="preserve">. Парадная – широкая 3-х маршевая лестница, расположенная по оси парадного входа. Дополнительные – две более узкие 2-х маршевые лестницы (с выходом на чердак), расположенные по осям боковых крыльев. </w:t>
      </w:r>
    </w:p>
    <w:p w:rsidR="00B55575" w:rsidRPr="004502CE" w:rsidRDefault="00B55575" w:rsidP="004502CE">
      <w:pPr>
        <w:numPr>
          <w:ilvl w:val="0"/>
          <w:numId w:val="2"/>
        </w:numPr>
        <w:tabs>
          <w:tab w:val="clear" w:pos="1637"/>
          <w:tab w:val="num" w:pos="480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4502CE">
        <w:rPr>
          <w:b/>
          <w:sz w:val="26"/>
          <w:szCs w:val="26"/>
        </w:rPr>
        <w:t>Архитектурно–художественное оформление интерьеров</w:t>
      </w:r>
      <w:r w:rsidRPr="004502CE">
        <w:rPr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98 г"/>
        </w:smartTagPr>
        <w:r w:rsidRPr="004502CE">
          <w:rPr>
            <w:sz w:val="26"/>
            <w:szCs w:val="26"/>
          </w:rPr>
          <w:t>1898 г</w:t>
        </w:r>
      </w:smartTag>
      <w:r w:rsidRPr="004502CE">
        <w:rPr>
          <w:sz w:val="26"/>
          <w:szCs w:val="26"/>
        </w:rPr>
        <w:t xml:space="preserve">. Элементы первоначального декора интерьеров: профильные штукатурные тяги (в т.ч. в </w:t>
      </w:r>
      <w:proofErr w:type="gramStart"/>
      <w:r w:rsidRPr="004502CE">
        <w:rPr>
          <w:sz w:val="26"/>
          <w:szCs w:val="26"/>
        </w:rPr>
        <w:t>оформлении</w:t>
      </w:r>
      <w:proofErr w:type="gramEnd"/>
      <w:r w:rsidRPr="004502CE">
        <w:rPr>
          <w:sz w:val="26"/>
          <w:szCs w:val="26"/>
        </w:rPr>
        <w:t xml:space="preserve"> арок и сводов), декор колонн и пяты арок. </w:t>
      </w:r>
      <w:proofErr w:type="gramStart"/>
      <w:r w:rsidRPr="004502CE">
        <w:rPr>
          <w:sz w:val="26"/>
          <w:szCs w:val="26"/>
        </w:rPr>
        <w:t xml:space="preserve">Интерьер парадного зала, включая декор стен: парные пилястры (с канелюрами), антаблемент с «сухариками» (и </w:t>
      </w:r>
      <w:proofErr w:type="spellStart"/>
      <w:r w:rsidRPr="004502CE">
        <w:rPr>
          <w:sz w:val="26"/>
          <w:szCs w:val="26"/>
        </w:rPr>
        <w:t>модульонами</w:t>
      </w:r>
      <w:proofErr w:type="spellEnd"/>
      <w:r w:rsidRPr="004502CE">
        <w:rPr>
          <w:sz w:val="26"/>
          <w:szCs w:val="26"/>
        </w:rPr>
        <w:t xml:space="preserve"> в местах расположения пилястр), парные фигурные колонки с ионическими капителями в уровне 2-го света (по осям пилястр), профильные пояса, фигурные филенки, профильн</w:t>
      </w:r>
      <w:r w:rsidR="00C91DB5">
        <w:rPr>
          <w:sz w:val="26"/>
          <w:szCs w:val="26"/>
        </w:rPr>
        <w:t>ое обрамление оконных проемов и </w:t>
      </w:r>
      <w:r w:rsidRPr="004502CE">
        <w:rPr>
          <w:sz w:val="26"/>
          <w:szCs w:val="26"/>
        </w:rPr>
        <w:t>арочных проемов хоров, декоративное обрамление дверных проемов.</w:t>
      </w:r>
      <w:proofErr w:type="gramEnd"/>
      <w:r w:rsidRPr="004502CE">
        <w:rPr>
          <w:sz w:val="26"/>
          <w:szCs w:val="26"/>
        </w:rPr>
        <w:t xml:space="preserve"> Декор потолка, восстановленный по сохранившемуся аналогу: профильные </w:t>
      </w:r>
      <w:proofErr w:type="spellStart"/>
      <w:r w:rsidRPr="004502CE">
        <w:rPr>
          <w:sz w:val="26"/>
          <w:szCs w:val="26"/>
        </w:rPr>
        <w:t>потолочно-стеновые</w:t>
      </w:r>
      <w:proofErr w:type="spellEnd"/>
      <w:r w:rsidRPr="004502CE">
        <w:rPr>
          <w:sz w:val="26"/>
          <w:szCs w:val="26"/>
        </w:rPr>
        <w:t xml:space="preserve"> тяги, филенки (все типоразмеры, конфигурация, профиль сечения и первоначальный декор), крупная потолочная розетка (профиль сечения и декор р</w:t>
      </w:r>
      <w:r w:rsidR="00C91DB5">
        <w:rPr>
          <w:sz w:val="26"/>
          <w:szCs w:val="26"/>
        </w:rPr>
        <w:t xml:space="preserve">астительного и геометрического </w:t>
      </w:r>
      <w:r w:rsidRPr="004502CE">
        <w:rPr>
          <w:sz w:val="26"/>
          <w:szCs w:val="26"/>
        </w:rPr>
        <w:t>орнамента (греческий)). Первоначальный тип покрытия пола – паркет.</w:t>
      </w:r>
    </w:p>
    <w:bookmarkEnd w:id="17"/>
    <w:bookmarkEnd w:id="18"/>
    <w:p w:rsidR="005A62EF" w:rsidRPr="00C91DB5" w:rsidRDefault="005A62EF" w:rsidP="004502CE">
      <w:pPr>
        <w:autoSpaceDE w:val="0"/>
        <w:autoSpaceDN w:val="0"/>
        <w:adjustRightInd w:val="0"/>
        <w:rPr>
          <w:b/>
          <w:sz w:val="8"/>
          <w:szCs w:val="8"/>
        </w:rPr>
      </w:pPr>
    </w:p>
    <w:sectPr w:rsidR="005A62EF" w:rsidRPr="00C91DB5" w:rsidSect="005D264A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1134" w:left="1134" w:header="578" w:footer="1125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B5" w:rsidRDefault="00C91DB5">
      <w:r>
        <w:separator/>
      </w:r>
    </w:p>
  </w:endnote>
  <w:endnote w:type="continuationSeparator" w:id="1">
    <w:p w:rsidR="00C91DB5" w:rsidRDefault="00C91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DB5" w:rsidRDefault="00AD4A8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DB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91DB5" w:rsidRDefault="00C91DB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DB5" w:rsidRPr="00770D56" w:rsidRDefault="00C91DB5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C91DB5" w:rsidRPr="00770D56" w:rsidRDefault="00C91DB5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C91DB5" w:rsidRPr="00C91DB5" w:rsidRDefault="00AD4A8E" w:rsidP="00C91DB5">
    <w:pPr>
      <w:jc w:val="both"/>
      <w:rPr>
        <w:sz w:val="20"/>
        <w:szCs w:val="20"/>
      </w:rPr>
    </w:pPr>
    <w:hyperlink r:id="rId1" w:history="1">
      <w:r w:rsidR="00C91DB5" w:rsidRPr="00770D56">
        <w:rPr>
          <w:rStyle w:val="aa"/>
          <w:sz w:val="20"/>
          <w:szCs w:val="20"/>
        </w:rPr>
        <w:t>dc-</w:t>
      </w:r>
      <w:r w:rsidR="00C91DB5" w:rsidRPr="00770D56">
        <w:rPr>
          <w:rStyle w:val="aa"/>
          <w:sz w:val="20"/>
          <w:szCs w:val="20"/>
          <w:lang w:val="en-US"/>
        </w:rPr>
        <w:t>ktb</w:t>
      </w:r>
      <w:r w:rsidR="00C91DB5" w:rsidRPr="00770D56">
        <w:rPr>
          <w:rStyle w:val="aa"/>
          <w:sz w:val="20"/>
          <w:szCs w:val="20"/>
        </w:rPr>
        <w:t>@</w:t>
      </w:r>
      <w:r w:rsidR="00C91DB5" w:rsidRPr="00770D56">
        <w:rPr>
          <w:rStyle w:val="aa"/>
          <w:sz w:val="20"/>
          <w:szCs w:val="20"/>
          <w:lang w:val="en-US"/>
        </w:rPr>
        <w:t>cct</w:t>
      </w:r>
      <w:r w:rsidR="00C91DB5" w:rsidRPr="00770D56">
        <w:rPr>
          <w:rStyle w:val="aa"/>
          <w:sz w:val="20"/>
          <w:szCs w:val="20"/>
        </w:rPr>
        <w:t>.</w:t>
      </w:r>
      <w:proofErr w:type="spellStart"/>
      <w:r w:rsidR="00C91DB5" w:rsidRPr="00770D56">
        <w:rPr>
          <w:rStyle w:val="aa"/>
          <w:sz w:val="20"/>
          <w:szCs w:val="20"/>
        </w:rPr>
        <w:t>tomsk.gov.ru</w:t>
      </w:r>
      <w:proofErr w:type="spellEnd"/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B5" w:rsidRDefault="00C91DB5">
      <w:r>
        <w:separator/>
      </w:r>
    </w:p>
  </w:footnote>
  <w:footnote w:type="continuationSeparator" w:id="1">
    <w:p w:rsidR="00C91DB5" w:rsidRDefault="00C91D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DB5" w:rsidRDefault="00AD4A8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DB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1DB5">
      <w:rPr>
        <w:rStyle w:val="a6"/>
        <w:noProof/>
      </w:rPr>
      <w:t>1</w:t>
    </w:r>
    <w:r>
      <w:rPr>
        <w:rStyle w:val="a6"/>
      </w:rPr>
      <w:fldChar w:fldCharType="end"/>
    </w:r>
  </w:p>
  <w:p w:rsidR="00C91DB5" w:rsidRDefault="00C91DB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DB5" w:rsidRPr="00855067" w:rsidRDefault="00C91DB5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C91DB5" w:rsidRPr="00386933" w:rsidTr="001B2992">
      <w:trPr>
        <w:trHeight w:val="567"/>
      </w:trPr>
      <w:tc>
        <w:tcPr>
          <w:tcW w:w="10206" w:type="dxa"/>
        </w:tcPr>
        <w:p w:rsidR="00C91DB5" w:rsidRPr="001F0845" w:rsidRDefault="00C91DB5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C91DB5" w:rsidRPr="001F0845" w:rsidRDefault="00C91DB5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C91DB5" w:rsidRPr="00386933" w:rsidTr="001B2992">
      <w:trPr>
        <w:trHeight w:val="567"/>
      </w:trPr>
      <w:tc>
        <w:tcPr>
          <w:tcW w:w="10206" w:type="dxa"/>
        </w:tcPr>
        <w:p w:rsidR="00C91DB5" w:rsidRPr="00386933" w:rsidRDefault="00C91DB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C91DB5" w:rsidRPr="00B6540F" w:rsidRDefault="00C91DB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33D50B7"/>
    <w:multiLevelType w:val="hybridMultilevel"/>
    <w:tmpl w:val="7E2E0EE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5">
    <w:nsid w:val="69FB13B8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7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1"/>
  </w:num>
  <w:num w:numId="3">
    <w:abstractNumId w:val="14"/>
  </w:num>
  <w:num w:numId="4">
    <w:abstractNumId w:val="18"/>
  </w:num>
  <w:num w:numId="5">
    <w:abstractNumId w:val="27"/>
  </w:num>
  <w:num w:numId="6">
    <w:abstractNumId w:val="7"/>
  </w:num>
  <w:num w:numId="7">
    <w:abstractNumId w:val="21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6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6"/>
  </w:num>
  <w:num w:numId="23">
    <w:abstractNumId w:val="19"/>
  </w:num>
  <w:num w:numId="24">
    <w:abstractNumId w:val="23"/>
  </w:num>
  <w:num w:numId="25">
    <w:abstractNumId w:val="4"/>
  </w:num>
  <w:num w:numId="26">
    <w:abstractNumId w:val="24"/>
  </w:num>
  <w:num w:numId="27">
    <w:abstractNumId w:val="25"/>
  </w:num>
  <w:num w:numId="28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233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A7D0A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02CE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5A14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264A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77F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375B9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4A8E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575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1DB5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40E2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B444A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37</TotalTime>
  <Pages>4</Pages>
  <Words>1295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10185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6</cp:revision>
  <cp:lastPrinted>2016-12-29T07:12:00Z</cp:lastPrinted>
  <dcterms:created xsi:type="dcterms:W3CDTF">2017-05-24T01:52:00Z</dcterms:created>
  <dcterms:modified xsi:type="dcterms:W3CDTF">2017-05-28T12:05:00Z</dcterms:modified>
</cp:coreProperties>
</file>